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Оренбургский ГПЗ</w:t>
      </w:r>
    </w:p>
    <w:p>
      <w:r>
        <w:rPr>
          <w:sz w:val="26"/>
        </w:rPr>
        <w:t>Коммерческое исследование для ООО «Компания КРУС-Запад»</w:t>
      </w:r>
    </w:p>
    <w:p>
      <w:r>
        <w:rPr>
          <w:b w:val="0"/>
        </w:rPr>
        <w:t>Дата актуальности: 13 октября 2026 года. Главный фокус — промышленный электрообогрев. Теплоизоляция рассматривается отдельно как дополнительное направление и возможный канал входа.</w:t>
      </w:r>
    </w:p>
    <w:p>
      <w:pPr>
        <w:pStyle w:val="Heading1"/>
      </w:pPr>
      <w:r>
        <w:t>Управленческое резюме</w:t>
      </w:r>
    </w:p>
    <w:p>
      <w:r>
        <w:rPr>
          <w:b/>
        </w:rPr>
        <w:t>Рекомендация: развивать ОГПЗ как целевой аккаунт по электрообогреву через ограниченный этап технической квалификации. Оснований включать предприятие в подтвержденный портфель заказов электрообогрева или прогнозировать выручку пока нет.</w:t>
      </w:r>
      <w:r>
        <w:rPr>
          <w:b w:val="0"/>
        </w:rPr>
        <w:t xml:space="preserve"> Найдены конкретные действующие установки, ремонтные программы, проектная цепочка и деловые контакты. Однако в изученных документах не установлены марки и количество действующих цепей электрообогрева, их поставщик, сервисная организация, подтвержденные неисправности или открытая закупка соответствующего оборудования. Это ограничение результата, а не утверждение, что электрообогрева на заводе нет.</w:t>
      </w:r>
    </w:p>
    <w:p>
      <w:r>
        <w:rPr>
          <w:b w:val="0"/>
        </w:rPr>
        <w:t xml:space="preserve">Наиболее обоснованный путь к новой поставке — </w:t>
      </w:r>
      <w:r>
        <w:rPr>
          <w:b/>
        </w:rPr>
        <w:t>ГЛ Инжиниринг и проект реконструкции первой очереди</w:t>
      </w:r>
      <w:r>
        <w:rPr>
          <w:b w:val="0"/>
        </w:rPr>
        <w:t>. Четыре уведомления ДИЭМ июля 2026 года подтверждают работу с проектной документацией по этапам 1–15 и называют ГИПа Сергея Алексеевича Зорина. КРУС может предложить расчет, проектирование и комплектацию электрообогрева конкретных технологических и приборных узлов. Основание для обращения — подтвержденный проект и профильная компетенция КРУС; основание для заказа появится только после получения температурного задания и перечня обогреваемых линий. ПД/ОВОС по 12 вложениям не прочитаны: сервер возвращает HTML «Недопустимый файл». [</w:t>
      </w:r>
      <w:hyperlink w:anchor="src_D01">
        <w:r>
          <w:rPr>
            <w:color w:val="185F7D"/>
          </w:rPr>
          <w:t>D01</w:t>
        </w:r>
      </w:hyperlink>
      <w:r>
        <w:rPr>
          <w:b w:val="0"/>
        </w:rPr>
        <w:t>–</w:t>
      </w:r>
      <w:hyperlink w:anchor="src_D04">
        <w:r>
          <w:rPr>
            <w:color w:val="185F7D"/>
          </w:rPr>
          <w:t>D04</w:t>
        </w:r>
      </w:hyperlink>
      <w:r>
        <w:rPr>
          <w:b w:val="0"/>
        </w:rPr>
        <w:t xml:space="preserve">; </w:t>
      </w:r>
      <w:hyperlink w:anchor="src_D_ATT">
        <w:r>
          <w:rPr>
            <w:color w:val="185F7D"/>
          </w:rPr>
          <w:t>D-ATT</w:t>
        </w:r>
      </w:hyperlink>
      <w:r>
        <w:rPr>
          <w:b w:val="0"/>
        </w:rPr>
        <w:t>]</w:t>
      </w:r>
    </w:p>
    <w:p>
      <w:r>
        <w:rPr>
          <w:b w:val="0"/>
        </w:rPr>
        <w:t xml:space="preserve">Второй маршрут — </w:t>
      </w:r>
      <w:r>
        <w:rPr>
          <w:b/>
        </w:rPr>
        <w:t>эксплуатация ОГПЗ → ответственный за электрообогрев/энергетическое оборудование и КИП → ремонтная цепочка ГСП Ремонт</w:t>
      </w:r>
      <w:r>
        <w:rPr>
          <w:b w:val="0"/>
        </w:rPr>
        <w:t>. Продукт КРУС здесь: обследование подтвержденной системы, ремонт секций и соединений, замена датчиков/регуляторов, восстановление работоспособности, модернизация питания и контроля. Первый результат контакта должен быть техническим: перечень цепей, один паспорт и акт проверки проблемного участка, функциональный владелец и порядок закупки. Пока это гипотеза сервисного спроса. Массовая замена, импортозамещение неизвестной марки и «подготовка всего завода к зиме» доказательствами не обоснованы. [</w:t>
      </w:r>
      <w:hyperlink w:anchor="src_F04">
        <w:r>
          <w:rPr>
            <w:color w:val="185F7D"/>
          </w:rPr>
          <w:t>F04</w:t>
        </w:r>
      </w:hyperlink>
      <w:r>
        <w:rPr>
          <w:b w:val="0"/>
        </w:rPr>
        <w:t xml:space="preserve">; </w:t>
      </w:r>
      <w:hyperlink w:anchor="src_K07">
        <w:r>
          <w:rPr>
            <w:color w:val="185F7D"/>
          </w:rPr>
          <w:t>K07</w:t>
        </w:r>
      </w:hyperlink>
      <w:r>
        <w:rPr>
          <w:b w:val="0"/>
        </w:rPr>
        <w:t xml:space="preserve">; </w:t>
      </w:r>
      <w:hyperlink w:anchor="src_Q01_F007">
        <w:r>
          <w:rPr>
            <w:color w:val="185F7D"/>
          </w:rPr>
          <w:t>Q01-F007</w:t>
        </w:r>
      </w:hyperlink>
      <w:r>
        <w:rPr>
          <w:b w:val="0"/>
        </w:rPr>
        <w:t xml:space="preserve">; </w:t>
      </w:r>
      <w:hyperlink w:anchor="src_B01">
        <w:r>
          <w:rPr>
            <w:color w:val="185F7D"/>
          </w:rPr>
          <w:t>B01</w:t>
        </w:r>
      </w:hyperlink>
      <w:r>
        <w:rPr>
          <w:b w:val="0"/>
        </w:rPr>
        <w:t>]</w:t>
      </w:r>
    </w:p>
    <w:p>
      <w:r>
        <w:rPr>
          <w:b w:val="0"/>
        </w:rPr>
        <w:t xml:space="preserve">Третий маршрут — </w:t>
      </w:r>
      <w:r>
        <w:rPr>
          <w:b/>
        </w:rPr>
        <w:t>Газпром проектирование → исполнитель ПИР/интегратор непрерывного контроля выбросов</w:t>
      </w:r>
      <w:r>
        <w:rPr>
          <w:b w:val="0"/>
        </w:rPr>
        <w:t>. Процедура №32616155547 на ПИР найдена, прием заявок завершен. Возможный продукт — обогреваемые пробоотборные линии и шкафы с питанием и контролем. Но он нужен не при любой схеме измерения: без ТЗ, выбора экстрактивного или in-situ метода и температурных требований это только проверяемая гипотеза. НМЦ ПИР 16,93 млн руб. не является бюджетом электрообогрева. [</w:t>
      </w:r>
      <w:hyperlink w:anchor="src_Q05">
        <w:r>
          <w:rPr>
            <w:color w:val="185F7D"/>
          </w:rPr>
          <w:t>Q05</w:t>
        </w:r>
      </w:hyperlink>
      <w:r>
        <w:rPr>
          <w:b w:val="0"/>
        </w:rPr>
        <w:t xml:space="preserve">; </w:t>
      </w:r>
      <w:hyperlink w:anchor="src_Q05_SECOND">
        <w:r>
          <w:rPr>
            <w:color w:val="185F7D"/>
          </w:rPr>
          <w:t>Q05-SECOND</w:t>
        </w:r>
      </w:hyperlink>
      <w:r>
        <w:rPr>
          <w:b w:val="0"/>
        </w:rPr>
        <w:t>]</w:t>
      </w:r>
    </w:p>
    <w:p>
      <w:r>
        <w:rPr>
          <w:b/>
        </w:rPr>
        <w:t>Для серного производства есть сильный аргумент компетенции, но нет доказанного заказа ОГПЗ.</w:t>
      </w:r>
      <w:r>
        <w:rPr>
          <w:b w:val="0"/>
        </w:rPr>
        <w:t xml:space="preserve"> В референс-листе КРУС за 2025 год указан электрообогрев импульсных линий производства технической серы Газпром нефтехим Салавата с ПИР, поставкой, СМР и ПНР. На ОГПЗ документально подтверждена установка 2У-350. Это позволяет предметно обсуждать один аналогичный узел с технологом и КИП, не утверждая, что решение уже требуется. Работы КРУС по серопроводу 2,5 км в 2017 году относятся к Орскнефтеоргсинтезу; их нельзя приписывать ОГПЗ или ТАНЕКО. [</w:t>
      </w:r>
      <w:hyperlink w:anchor="src_K05">
        <w:r>
          <w:rPr>
            <w:color w:val="185F7D"/>
          </w:rPr>
          <w:t>K05</w:t>
        </w:r>
      </w:hyperlink>
      <w:r>
        <w:rPr>
          <w:b w:val="0"/>
        </w:rPr>
        <w:t xml:space="preserve">, с. 14–15 и 26–27; </w:t>
      </w:r>
      <w:hyperlink w:anchor="src_Q01_F007">
        <w:r>
          <w:rPr>
            <w:color w:val="185F7D"/>
          </w:rPr>
          <w:t>Q01-F007</w:t>
        </w:r>
      </w:hyperlink>
      <w:r>
        <w:rPr>
          <w:b w:val="0"/>
        </w:rPr>
        <w:t>]</w:t>
      </w:r>
    </w:p>
    <w:p>
      <w:r>
        <w:rPr>
          <w:b w:val="0"/>
        </w:rPr>
        <w:t xml:space="preserve">Теплоизоляция дает дополнительный, более доказанный ремонтный контекст. Протокол от 23.07.2026 признает лучшей заявку ООО «ТЕПЛОИЗОЛЯЦИЯ-1» по лоту с НМЦ 133,09 млн руб. В ремонте теплоснабжения 2027 года найдена ведомость на 1 041 м² покрытия и 56,64 м³ изоляции. </w:t>
      </w:r>
      <w:r>
        <w:rPr>
          <w:b/>
        </w:rPr>
        <w:t>Эти факты не подтверждают спрос на электрообогрев.</w:t>
      </w:r>
      <w:r>
        <w:rPr>
          <w:b w:val="0"/>
        </w:rPr>
        <w:t xml:space="preserve"> Их можно использовать для уточнения, есть ли на вскрываемых участках действующие цепи и кто отвечает за их проверку и восстановление. Закрытые закупки не становятся доступными заказами из-за будущего срока работ. [</w:t>
      </w:r>
      <w:hyperlink w:anchor="src_Q01_F002">
        <w:r>
          <w:rPr>
            <w:color w:val="185F7D"/>
          </w:rPr>
          <w:t>Q01-F002</w:t>
        </w:r>
      </w:hyperlink>
      <w:r>
        <w:rPr>
          <w:b w:val="0"/>
        </w:rPr>
        <w:t xml:space="preserve">; </w:t>
      </w:r>
      <w:hyperlink w:anchor="src_Q04_F032">
        <w:r>
          <w:rPr>
            <w:color w:val="185F7D"/>
          </w:rPr>
          <w:t>Q04-F032</w:t>
        </w:r>
      </w:hyperlink>
      <w:r>
        <w:rPr>
          <w:b w:val="0"/>
        </w:rPr>
        <w:t>]</w:t>
      </w:r>
    </w:p>
    <w:p>
      <w:r>
        <w:rPr>
          <w:b/>
        </w:rPr>
        <w:t>Первые действия:</w:t>
      </w:r>
      <w:r>
        <w:rPr>
          <w:b w:val="0"/>
        </w:rPr>
        <w:t xml:space="preserve"> подготовить короткий пакет по электрообогреву серных/приборных узлов; выйти к ГИПу первой очереди за одним адресным проектным пакетом; через официальный канал ОГПЗ установить владельца действующих систем и получить исходные данные по одному участку. Только после этого решать, вкладываться ли в расчет, обследование и коммерческое предложение. Если за 30 дней не подтверждены ни проектная потребность, ни существующая система с задачей, перевести аккаунт в наблюдение по электрообогреву. Теплоизоляционные возможности оценивать отдельно, не используя их для обоснования EHT-портфеля.</w:t>
      </w:r>
    </w:p>
    <w:p>
      <w:pPr>
        <w:pStyle w:val="Heading1"/>
        <w:pageBreakBefore/>
      </w:pPr>
      <w:r>
        <w:t>1  Объект  оператор и границы исследования</w:t>
      </w:r>
    </w:p>
    <w:p>
      <w:r>
        <w:rPr>
          <w:b w:val="0"/>
        </w:rPr>
        <w:t>Оренбургский газоперерабатывающий завод — филиал ООО «Газпром переработка». Переход из ООО «Газпром добыча Оренбург» состоялся 1 ноября 2018 года. Филиал не является отдельным юридическим лицом. В ремонтных закупках, изученных здесь, договорным заказчиком выступает ООО «ГСП Ремонт», а ОГПЗ — конечным получателем. Следовательно, прямой технический контакт с заводом не означает прямой договор поставки с филиалом. [</w:t>
      </w:r>
      <w:hyperlink w:anchor="src_F05">
        <w:r>
          <w:rPr>
            <w:color w:val="185F7D"/>
          </w:rPr>
          <w:t>F05</w:t>
        </w:r>
      </w:hyperlink>
      <w:r>
        <w:rPr>
          <w:b w:val="0"/>
        </w:rPr>
        <w:t xml:space="preserve">; </w:t>
      </w:r>
      <w:hyperlink w:anchor="src_Q01_F005">
        <w:r>
          <w:rPr>
            <w:color w:val="185F7D"/>
          </w:rPr>
          <w:t>Q01-F005</w:t>
        </w:r>
      </w:hyperlink>
      <w:r>
        <w:rPr>
          <w:b w:val="0"/>
        </w:rPr>
        <w:t xml:space="preserve">; </w:t>
      </w:r>
      <w:hyperlink w:anchor="src_Q04_F044">
        <w:r>
          <w:rPr>
            <w:color w:val="185F7D"/>
          </w:rPr>
          <w:t>Q04-F044</w:t>
        </w:r>
      </w:hyperlink>
      <w:r>
        <w:rPr>
          <w:b w:val="0"/>
        </w:rPr>
        <w:t>]</w:t>
      </w:r>
    </w:p>
    <w:p>
      <w:r>
        <w:rPr>
          <w:b w:val="0"/>
        </w:rPr>
        <w:t>Реквизиты оператора: ИНН 1102054991, ОГРН 1071102001651, КПП 780201001. ИНН/КПП подтверждаются ресурсом БФО ФНС, ОГРН — публичным реестром Роспотребнадзора. Это идентификация юридического лица, не свежая выписка ЕГРЮЛ для заключения договора. Юридический адрес общества в Санкт-Петербурге нельзя смешивать с производственным адресом филиала. [</w:t>
      </w:r>
      <w:hyperlink w:anchor="src_F06">
        <w:r>
          <w:rPr>
            <w:color w:val="185F7D"/>
          </w:rPr>
          <w:t>F06</w:t>
        </w:r>
      </w:hyperlink>
      <w:r>
        <w:rPr>
          <w:b w:val="0"/>
        </w:rPr>
        <w:t xml:space="preserve">; </w:t>
      </w:r>
      <w:hyperlink w:anchor="src_F07">
        <w:r>
          <w:rPr>
            <w:color w:val="185F7D"/>
          </w:rPr>
          <w:t>F07</w:t>
        </w:r>
      </w:hyperlink>
      <w:r>
        <w:rPr>
          <w:b w:val="0"/>
        </w:rPr>
        <w:t>]</w:t>
      </w:r>
    </w:p>
    <w:p>
      <w:r>
        <w:rPr>
          <w:b w:val="0"/>
        </w:rPr>
        <w:t>Официальный канал ОГПЗ: 460512, г. Оренбург, п/о п. Каргала, 30-й км, №1; +7 (3532) 73-52-01; ogpz@ogpz.gpp.gazprom.ru. Прочитан индекс официальной страницы; прямой запрос к серверу завершался тайм-аутом. Это общий канал для маршрутизации, не прямой телефон начальника КИП или владельца электрообогрева. Контакт не проверялся звонком. [</w:t>
      </w:r>
      <w:hyperlink w:anchor="src_F04">
        <w:r>
          <w:rPr>
            <w:color w:val="185F7D"/>
          </w:rPr>
          <w:t>F04</w:t>
        </w:r>
      </w:hyperlink>
      <w:r>
        <w:rPr>
          <w:b w:val="0"/>
        </w:rPr>
        <w:t>]</w:t>
      </w:r>
    </w:p>
    <w:p>
      <w:r>
        <w:rPr>
          <w:b w:val="0"/>
        </w:rPr>
        <w:t>Отдельно исключены из принадлежности заводу: Оренбургский гелиевый завод; добывающие УКПГ/ДКС Оренбургского НГКМ; ООО «Газпромнефть-Оренбург»; Совхозное ПХГ; магистральная инфраструктура других операторов. Связанный технологический поток и одинаковая область не дают оснований объединять их установленное оборудование и закупки.</w:t>
      </w:r>
    </w:p>
    <w:p>
      <w:r>
        <w:rPr>
          <w:b w:val="0"/>
        </w:rPr>
        <w:t>Проверка отношений КРУС с ОГПЗ по доступным официальным референсам не выявила прямого подтверждения. Три доступные редакции референс-листов и карточка Газпромнефть-Оренбурга изучены; последняя относится к другому заказчику. Внутренняя история договоров КРУС не была доступна как полный архив. Поэтому вывод — «отношения не подтверждены в исследованном корпусе», а не «КРУС никогда не работал с заводом». Перед первым внешним контактом нужно проверить собственные договоры, счета и знакомых технических специалистов. [</w:t>
      </w:r>
      <w:hyperlink w:anchor="src_K02">
        <w:r>
          <w:rPr>
            <w:color w:val="185F7D"/>
          </w:rPr>
          <w:t>K02</w:t>
        </w:r>
      </w:hyperlink>
      <w:r>
        <w:rPr>
          <w:b w:val="0"/>
        </w:rPr>
        <w:t xml:space="preserve">; </w:t>
      </w:r>
      <w:hyperlink w:anchor="src_K05">
        <w:r>
          <w:rPr>
            <w:color w:val="185F7D"/>
          </w:rPr>
          <w:t>K05</w:t>
        </w:r>
      </w:hyperlink>
      <w:r>
        <w:rPr>
          <w:b w:val="0"/>
        </w:rPr>
        <w:t>]</w:t>
      </w:r>
    </w:p>
    <w:p>
      <w:pPr>
        <w:pStyle w:val="Heading1"/>
      </w:pPr>
      <w:r>
        <w:t>2  Производственная структура и что она означает для электрообогрева</w:t>
      </w:r>
    </w:p>
    <w:p>
      <w:r>
        <w:rPr>
          <w:b w:val="0"/>
        </w:rPr>
        <w:t>По материалам ГЛ Инжиниринг историческая проектная схема ОГПЗ включает очистку газа от кислых компонентов, осушку и очистку от меркаптанов, извлечение жидких углеводородов, стабилизацию конденсата, производство серы методом Клауса и доочистку отходящих газов. Исходная проектная мощность трех очередей — 45 млрд м³ газа в год, жидкого сырья — 6,2 млн т в год. Эти числа описывают проектную историю; они не приняты за действующую паспортную мощность или фактическую загрузку на 13.10.2026. Мощности последовательных технологических переделов не складываются. [</w:t>
      </w:r>
      <w:hyperlink w:anchor="src_P02">
        <w:r>
          <w:rPr>
            <w:color w:val="185F7D"/>
          </w:rPr>
          <w:t>P02</w:t>
        </w:r>
      </w:hyperlink>
      <w:r>
        <w:rPr>
          <w:b w:val="0"/>
        </w:rPr>
        <w:t>]</w:t>
      </w:r>
    </w:p>
    <w:p>
      <w:r>
        <w:rPr>
          <w:b w:val="0"/>
        </w:rPr>
        <w:t>Наиболее полезна для продаж не общая мощность, а пообъектная привязка из ремонтных документов: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73"/>
        <w:gridCol w:w="3816"/>
        <w:gridCol w:w="4104"/>
      </w:tblGrid>
      <w:tr>
        <w:trPr>
          <w:cantSplit/>
          <w:tblHeader/>
        </w:trPr>
        <w:tc>
          <w:tcPr>
            <w:tcW w:type="dxa" w:w="1973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E9ECEF"/>
          </w:tcPr>
          <w:p>
            <w:pPr>
              <w:spacing w:after="60" w:line="240" w:lineRule="auto"/>
            </w:pPr>
            <w:r>
              <w:rPr>
                <w:b/>
                <w:sz w:val="19"/>
              </w:rPr>
              <w:t>Объект</w:t>
            </w:r>
          </w:p>
        </w:tc>
        <w:tc>
          <w:tcPr>
            <w:tcW w:type="dxa" w:w="3816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E9ECEF"/>
          </w:tcPr>
          <w:p>
            <w:pPr>
              <w:spacing w:after="60" w:line="240" w:lineRule="auto"/>
            </w:pPr>
            <w:r>
              <w:rPr>
                <w:b/>
                <w:sz w:val="19"/>
              </w:rPr>
              <w:t>Что подтверждено</w:t>
            </w:r>
          </w:p>
        </w:tc>
        <w:tc>
          <w:tcPr>
            <w:tcW w:type="dxa" w:w="4104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E9ECEF"/>
          </w:tcPr>
          <w:p>
            <w:pPr>
              <w:spacing w:after="60" w:line="240" w:lineRule="auto"/>
            </w:pPr>
            <w:r>
              <w:rPr>
                <w:b/>
                <w:sz w:val="19"/>
              </w:rPr>
              <w:t>Значение для КРУС по электрообогреву</w:t>
            </w:r>
          </w:p>
        </w:tc>
      </w:tr>
      <w:tr>
        <w:trPr>
          <w:cantSplit/>
        </w:trPr>
        <w:tc>
          <w:tcPr>
            <w:tcW w:type="dxa" w:w="1973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FFFFFF"/>
          </w:tcPr>
          <w:p>
            <w:pPr>
              <w:spacing w:after="60" w:line="240" w:lineRule="auto"/>
            </w:pPr>
            <w:r>
              <w:rPr>
                <w:b w:val="0"/>
                <w:sz w:val="19"/>
              </w:rPr>
              <w:t>2У-350 / 355, цех 3, inv124807</w:t>
            </w:r>
          </w:p>
        </w:tc>
        <w:tc>
          <w:tcPr>
            <w:tcW w:type="dxa" w:w="3816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FFFFFF"/>
          </w:tcPr>
          <w:p>
            <w:pPr>
              <w:spacing w:after="60" w:line="240" w:lineRule="auto"/>
            </w:pPr>
            <w:r>
              <w:rPr>
                <w:b w:val="0"/>
                <w:sz w:val="19"/>
              </w:rPr>
              <w:t>Серное производство, ремонт теплоизоляции 2026</w:t>
            </w:r>
          </w:p>
        </w:tc>
        <w:tc>
          <w:tcPr>
            <w:tcW w:type="dxa" w:w="4104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FFFFFF"/>
          </w:tcPr>
          <w:p>
            <w:pPr>
              <w:spacing w:after="60" w:line="240" w:lineRule="auto"/>
            </w:pPr>
            <w:r>
              <w:rPr>
                <w:b w:val="0"/>
                <w:sz w:val="19"/>
              </w:rPr>
              <w:t>Проверить способ обогрева конкретных малых и импульсных линий; использовать серный референс КРУС</w:t>
            </w:r>
          </w:p>
        </w:tc>
      </w:tr>
      <w:tr>
        <w:trPr>
          <w:cantSplit/>
        </w:trPr>
        <w:tc>
          <w:tcPr>
            <w:tcW w:type="dxa" w:w="1973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F7F8F9"/>
          </w:tcPr>
          <w:p>
            <w:pPr>
              <w:spacing w:after="60" w:line="240" w:lineRule="auto"/>
            </w:pPr>
            <w:r>
              <w:rPr>
                <w:b w:val="0"/>
                <w:sz w:val="19"/>
              </w:rPr>
              <w:t>3У-370, цех 3, inv124812</w:t>
            </w:r>
          </w:p>
        </w:tc>
        <w:tc>
          <w:tcPr>
            <w:tcW w:type="dxa" w:w="3816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F7F8F9"/>
          </w:tcPr>
          <w:p>
            <w:pPr>
              <w:spacing w:after="60" w:line="240" w:lineRule="auto"/>
            </w:pPr>
            <w:r>
              <w:rPr>
                <w:b w:val="0"/>
                <w:sz w:val="19"/>
              </w:rPr>
              <w:t>Очистка/осушка газа; изоляция трубопроводов и сосудов для ЭПБ</w:t>
            </w:r>
          </w:p>
        </w:tc>
        <w:tc>
          <w:tcPr>
            <w:tcW w:type="dxa" w:w="4104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F7F8F9"/>
          </w:tcPr>
          <w:p>
            <w:pPr>
              <w:spacing w:after="60" w:line="240" w:lineRule="auto"/>
            </w:pPr>
            <w:r>
              <w:rPr>
                <w:b w:val="0"/>
                <w:sz w:val="19"/>
              </w:rPr>
              <w:t>Проверить наличие ЭО на вскрываемых участках и границу восстановления после ремонта</w:t>
            </w:r>
          </w:p>
        </w:tc>
      </w:tr>
      <w:tr>
        <w:trPr>
          <w:cantSplit/>
        </w:trPr>
        <w:tc>
          <w:tcPr>
            <w:tcW w:type="dxa" w:w="1973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FFFFFF"/>
          </w:tcPr>
          <w:p>
            <w:pPr>
              <w:spacing w:after="60" w:line="240" w:lineRule="auto"/>
            </w:pPr>
            <w:r>
              <w:rPr>
                <w:b w:val="0"/>
                <w:sz w:val="19"/>
              </w:rPr>
              <w:t>У-110, inv124837</w:t>
            </w:r>
          </w:p>
        </w:tc>
        <w:tc>
          <w:tcPr>
            <w:tcW w:type="dxa" w:w="3816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FFFFFF"/>
          </w:tcPr>
          <w:p>
            <w:pPr>
              <w:spacing w:after="60" w:line="240" w:lineRule="auto"/>
            </w:pPr>
            <w:r>
              <w:rPr>
                <w:b w:val="0"/>
                <w:sz w:val="19"/>
              </w:rPr>
              <w:t>Склад стабильного конденсата, паро-водяные трубопроводы, НК 2027</w:t>
            </w:r>
          </w:p>
        </w:tc>
        <w:tc>
          <w:tcPr>
            <w:tcW w:type="dxa" w:w="4104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FFFFFF"/>
          </w:tcPr>
          <w:p>
            <w:pPr>
              <w:spacing w:after="60" w:line="240" w:lineRule="auto"/>
            </w:pPr>
            <w:r>
              <w:rPr>
                <w:b w:val="0"/>
                <w:sz w:val="19"/>
              </w:rPr>
              <w:t>Адресная гипотеза по пробам/дренажам; не основание обогревать все резервуары</w:t>
            </w:r>
          </w:p>
        </w:tc>
      </w:tr>
      <w:tr>
        <w:trPr>
          <w:cantSplit/>
        </w:trPr>
        <w:tc>
          <w:tcPr>
            <w:tcW w:type="dxa" w:w="1973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F7F8F9"/>
          </w:tcPr>
          <w:p>
            <w:pPr>
              <w:spacing w:after="60" w:line="240" w:lineRule="auto"/>
            </w:pPr>
            <w:r>
              <w:rPr>
                <w:b w:val="0"/>
                <w:sz w:val="19"/>
              </w:rPr>
              <w:t>У-90, inv124826</w:t>
            </w:r>
          </w:p>
        </w:tc>
        <w:tc>
          <w:tcPr>
            <w:tcW w:type="dxa" w:w="3816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F7F8F9"/>
          </w:tcPr>
          <w:p>
            <w:pPr>
              <w:spacing w:after="60" w:line="240" w:lineRule="auto"/>
            </w:pPr>
            <w:r>
              <w:rPr>
                <w:b w:val="0"/>
                <w:sz w:val="19"/>
              </w:rPr>
              <w:t>Установка ШФЛУ, подготовка паровых/водяных сетей к НК</w:t>
            </w:r>
          </w:p>
        </w:tc>
        <w:tc>
          <w:tcPr>
            <w:tcW w:type="dxa" w:w="4104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F7F8F9"/>
          </w:tcPr>
          <w:p>
            <w:pPr>
              <w:spacing w:after="60" w:line="240" w:lineRule="auto"/>
            </w:pPr>
            <w:r>
              <w:rPr>
                <w:b w:val="0"/>
                <w:sz w:val="19"/>
              </w:rPr>
              <w:t>Электрическая система не установлена; сначала выявить температурную задачу</w:t>
            </w:r>
          </w:p>
        </w:tc>
      </w:tr>
      <w:tr>
        <w:trPr>
          <w:cantSplit/>
        </w:trPr>
        <w:tc>
          <w:tcPr>
            <w:tcW w:type="dxa" w:w="1973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FFFFFF"/>
          </w:tcPr>
          <w:p>
            <w:pPr>
              <w:spacing w:after="60" w:line="240" w:lineRule="auto"/>
            </w:pPr>
            <w:r>
              <w:rPr>
                <w:b w:val="0"/>
                <w:sz w:val="19"/>
              </w:rPr>
              <w:t>2У-50; 2У-70; 3У-70; 192</w:t>
            </w:r>
          </w:p>
        </w:tc>
        <w:tc>
          <w:tcPr>
            <w:tcW w:type="dxa" w:w="3816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FFFFFF"/>
          </w:tcPr>
          <w:p>
            <w:pPr>
              <w:spacing w:after="60" w:line="240" w:lineRule="auto"/>
            </w:pPr>
            <w:r>
              <w:rPr>
                <w:b w:val="0"/>
                <w:sz w:val="19"/>
              </w:rPr>
              <w:t>Отдельные установки в перечне ремонта 2027</w:t>
            </w:r>
          </w:p>
        </w:tc>
        <w:tc>
          <w:tcPr>
            <w:tcW w:type="dxa" w:w="4104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FFFFFF"/>
          </w:tcPr>
          <w:p>
            <w:pPr>
              <w:spacing w:after="60" w:line="240" w:lineRule="auto"/>
            </w:pPr>
            <w:r>
              <w:rPr>
                <w:b w:val="0"/>
                <w:sz w:val="19"/>
              </w:rPr>
              <w:t>Не смешивать 2У-50 с 2У-350 и 3У-70 с 3У-370</w:t>
            </w:r>
          </w:p>
        </w:tc>
      </w:tr>
      <w:tr>
        <w:trPr>
          <w:cantSplit/>
        </w:trPr>
        <w:tc>
          <w:tcPr>
            <w:tcW w:type="dxa" w:w="1973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F7F8F9"/>
          </w:tcPr>
          <w:p>
            <w:pPr>
              <w:spacing w:after="60" w:line="240" w:lineRule="auto"/>
            </w:pPr>
            <w:r>
              <w:rPr>
                <w:b w:val="0"/>
                <w:sz w:val="19"/>
              </w:rPr>
              <w:t>У-300</w:t>
            </w:r>
          </w:p>
        </w:tc>
        <w:tc>
          <w:tcPr>
            <w:tcW w:type="dxa" w:w="3816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F7F8F9"/>
          </w:tcPr>
          <w:p>
            <w:pPr>
              <w:spacing w:after="60" w:line="240" w:lineRule="auto"/>
            </w:pPr>
            <w:r>
              <w:rPr>
                <w:b w:val="0"/>
                <w:sz w:val="19"/>
              </w:rPr>
              <w:t>В 2017 году описан переход спутников с пара на горячую воду</w:t>
            </w:r>
          </w:p>
        </w:tc>
        <w:tc>
          <w:tcPr>
            <w:tcW w:type="dxa" w:w="4104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F7F8F9"/>
          </w:tcPr>
          <w:p>
            <w:pPr>
              <w:spacing w:after="60" w:line="240" w:lineRule="auto"/>
            </w:pPr>
            <w:r>
              <w:rPr>
                <w:b w:val="0"/>
                <w:sz w:val="19"/>
              </w:rPr>
              <w:t>Замена пара электричеством не является очевидным продолжением этой истории</w:t>
            </w:r>
          </w:p>
        </w:tc>
      </w:tr>
      <w:tr>
        <w:trPr>
          <w:cantSplit/>
        </w:trPr>
        <w:tc>
          <w:tcPr>
            <w:tcW w:type="dxa" w:w="1973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FFFFFF"/>
          </w:tcPr>
          <w:p>
            <w:pPr>
              <w:spacing w:after="60" w:line="240" w:lineRule="auto"/>
            </w:pPr>
            <w:r>
              <w:rPr>
                <w:b w:val="0"/>
                <w:sz w:val="19"/>
              </w:rPr>
              <w:t>Цех 9</w:t>
            </w:r>
          </w:p>
        </w:tc>
        <w:tc>
          <w:tcPr>
            <w:tcW w:type="dxa" w:w="3816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FFFFFF"/>
          </w:tcPr>
          <w:p>
            <w:pPr>
              <w:spacing w:after="60" w:line="240" w:lineRule="auto"/>
            </w:pPr>
            <w:r>
              <w:rPr>
                <w:b w:val="0"/>
                <w:sz w:val="19"/>
              </w:rPr>
              <w:t>Референс поставки щита собственных нужд ЧЭТА</w:t>
            </w:r>
          </w:p>
        </w:tc>
        <w:tc>
          <w:tcPr>
            <w:tcW w:type="dxa" w:w="4104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FFFFFF"/>
          </w:tcPr>
          <w:p>
            <w:pPr>
              <w:spacing w:after="60" w:line="240" w:lineRule="auto"/>
            </w:pPr>
            <w:r>
              <w:rPr>
                <w:b w:val="0"/>
                <w:sz w:val="19"/>
              </w:rPr>
              <w:t>Наличие ЩСН не подтверждает шкаф управления ЭО</w:t>
            </w:r>
          </w:p>
        </w:tc>
      </w:tr>
      <w:tr>
        <w:trPr>
          <w:cantSplit/>
        </w:trPr>
        <w:tc>
          <w:tcPr>
            <w:tcW w:type="dxa" w:w="1973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F7F8F9"/>
          </w:tcPr>
          <w:p>
            <w:pPr>
              <w:spacing w:after="60" w:line="240" w:lineRule="auto"/>
            </w:pPr>
            <w:r>
              <w:rPr>
                <w:b w:val="0"/>
                <w:sz w:val="19"/>
              </w:rPr>
              <w:t>Первая очередь / САКВ</w:t>
            </w:r>
          </w:p>
        </w:tc>
        <w:tc>
          <w:tcPr>
            <w:tcW w:type="dxa" w:w="3816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F7F8F9"/>
          </w:tcPr>
          <w:p>
            <w:pPr>
              <w:spacing w:after="60" w:line="240" w:lineRule="auto"/>
            </w:pPr>
            <w:r>
              <w:rPr>
                <w:b w:val="0"/>
                <w:sz w:val="19"/>
              </w:rPr>
              <w:t>Подтверждены проектные инициативы</w:t>
            </w:r>
          </w:p>
        </w:tc>
        <w:tc>
          <w:tcPr>
            <w:tcW w:type="dxa" w:w="4104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F7F8F9"/>
          </w:tcPr>
          <w:p>
            <w:pPr>
              <w:spacing w:after="60" w:line="240" w:lineRule="auto"/>
            </w:pPr>
            <w:r>
              <w:rPr>
                <w:b w:val="0"/>
                <w:sz w:val="19"/>
              </w:rPr>
              <w:t>Новые ЭО-спецификации возможны, но еще не прочитаны</w:t>
            </w:r>
          </w:p>
        </w:tc>
      </w:tr>
    </w:tbl>
    <w:p>
      <w:pPr>
        <w:spacing w:after="20"/>
      </w:pPr>
    </w:p>
    <w:p>
      <w:r>
        <w:rPr>
          <w:b w:val="0"/>
        </w:rPr>
        <w:t>Основания: [</w:t>
      </w:r>
      <w:hyperlink w:anchor="src_Q01_F007">
        <w:r>
          <w:rPr>
            <w:color w:val="185F7D"/>
          </w:rPr>
          <w:t>Q01-F007</w:t>
        </w:r>
      </w:hyperlink>
      <w:r>
        <w:rPr>
          <w:b w:val="0"/>
        </w:rPr>
        <w:t xml:space="preserve">; </w:t>
      </w:r>
      <w:hyperlink w:anchor="src_Q04_F019">
        <w:r>
          <w:rPr>
            <w:color w:val="185F7D"/>
          </w:rPr>
          <w:t>Q04-F019</w:t>
        </w:r>
      </w:hyperlink>
      <w:r>
        <w:rPr>
          <w:b w:val="0"/>
        </w:rPr>
        <w:t xml:space="preserve">; </w:t>
      </w:r>
      <w:hyperlink w:anchor="src_Q04_F027">
        <w:r>
          <w:rPr>
            <w:color w:val="185F7D"/>
          </w:rPr>
          <w:t>Q04-F027</w:t>
        </w:r>
      </w:hyperlink>
      <w:r>
        <w:rPr>
          <w:b w:val="0"/>
        </w:rPr>
        <w:t xml:space="preserve">; </w:t>
      </w:r>
      <w:hyperlink w:anchor="src_Q04_F031">
        <w:r>
          <w:rPr>
            <w:color w:val="185F7D"/>
          </w:rPr>
          <w:t>Q04-F031</w:t>
        </w:r>
      </w:hyperlink>
      <w:r>
        <w:rPr>
          <w:b w:val="0"/>
        </w:rPr>
        <w:t xml:space="preserve">; </w:t>
      </w:r>
      <w:hyperlink w:anchor="src_B03">
        <w:r>
          <w:rPr>
            <w:color w:val="185F7D"/>
          </w:rPr>
          <w:t>B03</w:t>
        </w:r>
      </w:hyperlink>
      <w:r>
        <w:rPr>
          <w:b w:val="0"/>
        </w:rPr>
        <w:t xml:space="preserve">; </w:t>
      </w:r>
      <w:hyperlink w:anchor="src_B01">
        <w:r>
          <w:rPr>
            <w:color w:val="185F7D"/>
          </w:rPr>
          <w:t>B01</w:t>
        </w:r>
      </w:hyperlink>
      <w:r>
        <w:rPr>
          <w:b w:val="0"/>
        </w:rPr>
        <w:t xml:space="preserve">; </w:t>
      </w:r>
      <w:hyperlink w:anchor="src_D01">
        <w:r>
          <w:rPr>
            <w:color w:val="185F7D"/>
          </w:rPr>
          <w:t>D01</w:t>
        </w:r>
      </w:hyperlink>
      <w:r>
        <w:rPr>
          <w:b w:val="0"/>
        </w:rPr>
        <w:t>–</w:t>
      </w:r>
      <w:hyperlink w:anchor="src_D04">
        <w:r>
          <w:rPr>
            <w:color w:val="185F7D"/>
          </w:rPr>
          <w:t>D04</w:t>
        </w:r>
      </w:hyperlink>
      <w:r>
        <w:rPr>
          <w:b w:val="0"/>
        </w:rPr>
        <w:t xml:space="preserve">; </w:t>
      </w:r>
      <w:hyperlink w:anchor="src_Q05">
        <w:r>
          <w:rPr>
            <w:color w:val="185F7D"/>
          </w:rPr>
          <w:t>Q05</w:t>
        </w:r>
      </w:hyperlink>
      <w:r>
        <w:rPr>
          <w:b w:val="0"/>
        </w:rPr>
        <w:t>]. Полная матрица из 17 записей, включая серные ямы, ИТП КИПиА и реагентное направление, находится во вкладке «Объекты и потребности».</w:t>
      </w:r>
    </w:p>
    <w:p>
      <w:r>
        <w:rPr>
          <w:b/>
        </w:rPr>
        <w:t>Установленная база электрообогрева: неизвестна по прочитанным документам.</w:t>
      </w:r>
      <w:r>
        <w:rPr>
          <w:b w:val="0"/>
        </w:rPr>
        <w:t xml:space="preserve"> Не установлены производитель и марка кабеля, тип регулирования, длины/мощности, количество цепей, дата ввода, текущий подрядчик ТО, неисправности и сроки замены. Аминовая очистка подтверждается проектными референсами; конкретные узлы метанола и гликолей в границах ОГПЗ не локализованы. Они не превращены в вымышленные точки спроса.</w:t>
      </w:r>
    </w:p>
    <w:p>
      <w:pPr>
        <w:pStyle w:val="Heading1"/>
      </w:pPr>
      <w:r>
        <w:t>3  Сырьевая база  загрузка и развитие</w:t>
      </w:r>
    </w:p>
    <w:p>
      <w:r>
        <w:rPr>
          <w:b w:val="0"/>
        </w:rPr>
        <w:t>Связь с Карачаганаком имеет практическое значение: она влияет на требования к переработке и на перспективы модернизации. КазРосГаз сообщает о визите 2–3 сентября 2025 года и обсуждении модернизации и долгосрочных отношений. Публикация подтверждает переговорный контекст, но не заключение договора на реконструкцию или закупку ЭО. [</w:t>
      </w:r>
      <w:hyperlink w:anchor="src_E01">
        <w:r>
          <w:rPr>
            <w:color w:val="185F7D"/>
          </w:rPr>
          <w:t>E01</w:t>
        </w:r>
      </w:hyperlink>
      <w:r>
        <w:rPr>
          <w:b w:val="0"/>
        </w:rPr>
        <w:t>]</w:t>
      </w:r>
    </w:p>
    <w:p>
      <w:r>
        <w:rPr>
          <w:b w:val="0"/>
        </w:rPr>
        <w:t xml:space="preserve">В годовом отчете КМГ за 2025 год таблица показателей </w:t>
      </w:r>
      <w:r>
        <w:rPr>
          <w:b/>
        </w:rPr>
        <w:t>на долю КМГ</w:t>
      </w:r>
      <w:r>
        <w:rPr>
          <w:b w:val="0"/>
        </w:rPr>
        <w:t xml:space="preserve"> содержит 881, 874 и 765 млн м³ по Карачаганаку за 2023, 2024 и 2025 годы; сноска определяет их как сырой газ, поставленный на ОГПЗ. Это не весь входящий поток завода. Показатели добычи и обратной закачки Карачаганака также нельзя выдавать за переработку ОГПЗ. Из снижения одного показателя доли не сделан вывод о неизбежном сокращении всего предприятия. [</w:t>
      </w:r>
      <w:hyperlink w:anchor="src_E02">
        <w:r>
          <w:rPr>
            <w:color w:val="185F7D"/>
          </w:rPr>
          <w:t>E02</w:t>
        </w:r>
      </w:hyperlink>
      <w:r>
        <w:rPr>
          <w:b w:val="0"/>
        </w:rPr>
        <w:t>]</w:t>
      </w:r>
    </w:p>
    <w:p>
      <w:r>
        <w:rPr>
          <w:b w:val="0"/>
        </w:rPr>
        <w:t>Сообщения об остановках и возобновлении приема газа 2025–2026 годов проверялись как контекст. Полная загрузка и эксплуатационный режим на дату исследования не установлены первичным оперативным документом. Авария сама по себе не доказательство заказа на электрообогрев. В оценку выручки аварийные работы не включены; сценарий «срочно поставлять кабель из-за происшествия» не обоснован.</w:t>
      </w:r>
    </w:p>
    <w:p>
      <w:pPr>
        <w:pStyle w:val="Heading1"/>
      </w:pPr>
      <w:r>
        <w:t>4  Проектная цепочка и перспективные точки формирования спецификаций</w:t>
      </w:r>
    </w:p>
    <w:p>
      <w:r>
        <w:rPr>
          <w:b/>
        </w:rPr>
        <w:t>PR01 — реконструкция первой очереди.</w:t>
      </w:r>
      <w:r>
        <w:rPr>
          <w:b w:val="0"/>
        </w:rPr>
        <w:t xml:space="preserve"> Уведомление Росприроднадзора 2024 года по этапам 7–11 получает продолжение в четырех публикациях ДИЭМ июля 2026 года. Пакеты охватывают: (1) этапы 1.1–1.2, 2.1–2.8, 3, 15; (2) 4, 5.1–5.10, 6; (3) 7.1–7.3, 8, 9.1–9.2, 10, 11; (4) 12, 13, 14.1–14.2. Это одна связанная программа с пакетами, а не четыре независимых рынка. Период ознакомления заявлен на 11.07–09.08.2026; факт проведения слушаний, положительная экспертиза, начало СМР и ввод этим не доказываются. [</w:t>
      </w:r>
      <w:hyperlink w:anchor="src_D01">
        <w:r>
          <w:rPr>
            <w:color w:val="185F7D"/>
          </w:rPr>
          <w:t>D01</w:t>
        </w:r>
      </w:hyperlink>
      <w:r>
        <w:rPr>
          <w:b w:val="0"/>
        </w:rPr>
        <w:t>–</w:t>
      </w:r>
      <w:hyperlink w:anchor="src_D05">
        <w:r>
          <w:rPr>
            <w:color w:val="185F7D"/>
          </w:rPr>
          <w:t>D05</w:t>
        </w:r>
      </w:hyperlink>
      <w:r>
        <w:rPr>
          <w:b w:val="0"/>
        </w:rPr>
        <w:t>]</w:t>
      </w:r>
    </w:p>
    <w:p>
      <w:r>
        <w:rPr>
          <w:b w:val="0"/>
        </w:rPr>
        <w:t>Роли подтверждены уведомлениями: ПАО «Газпром» — заказчик; ООО «Газпром инвест» — агент; ГЛ Инжиниринг — генеральный проектировщик; НПФ ДИЭМ — разработчик материалов ОВОС. Для КРУС главный адресат — ГИП и профильная группа ТХ/электрики/автоматизации, поскольку именно через них можно выяснить температурные задачи и стадию спецификаций. Подтверждения, что ГИП лично закупает оборудование, нет.</w:t>
      </w:r>
    </w:p>
    <w:p>
      <w:r>
        <w:rPr>
          <w:b w:val="0"/>
        </w:rPr>
        <w:t>ПЕГАЗ указывает ОТР по раздельной переработке газа и изыскания по этапам первой очереди. Бюро ПромПроект — научно-техническое сопровождение проектирования. ПЕТОН имеет исторические референсы проектных работ. Эти сведения расширяют карту участников, но не дают оснований объявлять любую из компаний действующим EPC-подрядчиком или покупателем ЭО в 2026 году. [</w:t>
      </w:r>
      <w:hyperlink w:anchor="src_P06">
        <w:r>
          <w:rPr>
            <w:color w:val="185F7D"/>
          </w:rPr>
          <w:t>P06</w:t>
        </w:r>
      </w:hyperlink>
      <w:r>
        <w:rPr>
          <w:b w:val="0"/>
        </w:rPr>
        <w:t xml:space="preserve">; </w:t>
      </w:r>
      <w:hyperlink w:anchor="src_P07">
        <w:r>
          <w:rPr>
            <w:color w:val="185F7D"/>
          </w:rPr>
          <w:t>P07</w:t>
        </w:r>
      </w:hyperlink>
      <w:r>
        <w:rPr>
          <w:b w:val="0"/>
        </w:rPr>
        <w:t xml:space="preserve">; </w:t>
      </w:r>
      <w:hyperlink w:anchor="src_P08">
        <w:r>
          <w:rPr>
            <w:color w:val="185F7D"/>
          </w:rPr>
          <w:t>P08</w:t>
        </w:r>
      </w:hyperlink>
      <w:r>
        <w:rPr>
          <w:b w:val="0"/>
        </w:rPr>
        <w:t xml:space="preserve">; </w:t>
      </w:r>
      <w:hyperlink w:anchor="src_B02">
        <w:r>
          <w:rPr>
            <w:color w:val="185F7D"/>
          </w:rPr>
          <w:t>B02</w:t>
        </w:r>
      </w:hyperlink>
      <w:r>
        <w:rPr>
          <w:b w:val="0"/>
        </w:rPr>
        <w:t>]</w:t>
      </w:r>
    </w:p>
    <w:p>
      <w:r>
        <w:rPr>
          <w:b/>
        </w:rPr>
        <w:t>PR02 — раздельная переработка газа ОНГКМ/КНГКМ, 9 млрд м³.</w:t>
      </w:r>
      <w:r>
        <w:rPr>
          <w:b w:val="0"/>
        </w:rPr>
        <w:t xml:space="preserve"> Найдена в проектных референсах ГЛ Инжиниринг и ПЕГАЗ. Актуальная самостоятельность, состав, сроки строительства и связь с PR01 требуют уточнения. Суммирование заявленных мощностей и бюджетов этих инициатив исключено. [</w:t>
      </w:r>
      <w:hyperlink w:anchor="src_P01">
        <w:r>
          <w:rPr>
            <w:color w:val="185F7D"/>
          </w:rPr>
          <w:t>P01</w:t>
        </w:r>
      </w:hyperlink>
      <w:r>
        <w:rPr>
          <w:b w:val="0"/>
        </w:rPr>
        <w:t xml:space="preserve">; </w:t>
      </w:r>
      <w:hyperlink w:anchor="src_P06">
        <w:r>
          <w:rPr>
            <w:color w:val="185F7D"/>
          </w:rPr>
          <w:t>P06</w:t>
        </w:r>
      </w:hyperlink>
      <w:r>
        <w:rPr>
          <w:b w:val="0"/>
        </w:rPr>
        <w:t>]</w:t>
      </w:r>
    </w:p>
    <w:p>
      <w:r>
        <w:rPr>
          <w:b/>
        </w:rPr>
        <w:t>PR03 — замена изношенного оборудования ГПЗ и гелиевого завода.</w:t>
      </w:r>
      <w:r>
        <w:rPr>
          <w:b w:val="0"/>
        </w:rPr>
        <w:t xml:space="preserve"> Портфельный референс объединяет два предприятия. До выделения оборудования ОГПЗ и конкретной стадии это контекст, а не отдельная квалифицированная возможность КРУС. [</w:t>
      </w:r>
      <w:hyperlink w:anchor="src_P01">
        <w:r>
          <w:rPr>
            <w:color w:val="185F7D"/>
          </w:rPr>
          <w:t>P01</w:t>
        </w:r>
      </w:hyperlink>
      <w:r>
        <w:rPr>
          <w:b w:val="0"/>
        </w:rPr>
        <w:t>]</w:t>
      </w:r>
    </w:p>
    <w:p>
      <w:r>
        <w:rPr>
          <w:b/>
        </w:rPr>
        <w:t>PR08 — непрерывный автоматический контроль выбросов.</w:t>
      </w:r>
      <w:r>
        <w:rPr>
          <w:b w:val="0"/>
        </w:rPr>
        <w:t xml:space="preserve"> Закупка ПИР №32616155547 / 26/2.3/00072084/ГППроект опубликована 26.06.2026, прием до 07.07.2026; карточка содержит протокол от 16.07.2026. Бикотендер показал перечень файлов, но в доступном состоянии страницы не предоставил их ссылки для скачивания. B2B.house сообщает о контракте, скрывая поставщика; это не заменяет чтение протокола. Гипотеза КРУС — обогрев пробоподготовки, проверяемая через выбранного проектировщика и интегратора. Географическую метку «Дагестан» вторичного агрегатора на объект не переносим. [</w:t>
      </w:r>
      <w:hyperlink w:anchor="src_Q05">
        <w:r>
          <w:rPr>
            <w:color w:val="185F7D"/>
          </w:rPr>
          <w:t>Q05</w:t>
        </w:r>
      </w:hyperlink>
      <w:r>
        <w:rPr>
          <w:b w:val="0"/>
        </w:rPr>
        <w:t xml:space="preserve">; </w:t>
      </w:r>
      <w:hyperlink w:anchor="src_Q05_SECOND">
        <w:r>
          <w:rPr>
            <w:color w:val="185F7D"/>
          </w:rPr>
          <w:t>Q05-SECOND</w:t>
        </w:r>
      </w:hyperlink>
      <w:r>
        <w:rPr>
          <w:b w:val="0"/>
        </w:rPr>
        <w:t>]</w:t>
      </w:r>
    </w:p>
    <w:p>
      <w:pPr>
        <w:pStyle w:val="Heading1"/>
      </w:pPr>
      <w:r>
        <w:t>5  Что выяснено о поставщиках и обслуживании электрообогрева</w:t>
      </w:r>
    </w:p>
    <w:p>
      <w:r>
        <w:rPr>
          <w:b w:val="0"/>
        </w:rPr>
        <w:t>Прямая цепочка «ОГПЗ → конкретная система ЭО → производитель → сервис → дефект → закупка» не собрана. Ее нельзя заменить списком известных брендов. В исследовании не подтверждено наличие на ОГПЗ конкретных систем ССТ, Thermon или Raychem; ни один из этих брендов не назначен действующим конкурентом без документа.</w:t>
      </w:r>
    </w:p>
    <w:p>
      <w:r>
        <w:rPr>
          <w:b w:val="0"/>
        </w:rPr>
        <w:t>Проверка выявила три важных разграничения:</w:t>
      </w:r>
    </w:p>
    <w:p>
      <w:pPr>
        <w:ind w:left="288" w:hanging="288"/>
      </w:pPr>
      <w:r>
        <w:rPr>
          <w:b w:val="0"/>
        </w:rPr>
        <w:t xml:space="preserve">1. В каталоге ЧЭТА у ОГПЗ, цеха 9, указан </w:t>
      </w:r>
      <w:r>
        <w:rPr>
          <w:b/>
        </w:rPr>
        <w:t>ЩСН</w:t>
      </w:r>
      <w:r>
        <w:rPr>
          <w:b w:val="0"/>
        </w:rPr>
        <w:t>. Строки про шкафы электрообогрева относятся к другим предприятиям. ЧЭТА остается подтвержденным по собственному референсу участником электротехнической базы, но не установленным поставщиком ЭО ОГПЗ. [</w:t>
      </w:r>
      <w:hyperlink w:anchor="src_B01">
        <w:r>
          <w:rPr>
            <w:color w:val="185F7D"/>
          </w:rPr>
          <w:t>B01</w:t>
        </w:r>
      </w:hyperlink>
      <w:r>
        <w:rPr>
          <w:b w:val="0"/>
        </w:rPr>
        <w:t>, PDF с. 20]</w:t>
      </w:r>
    </w:p>
    <w:p>
      <w:pPr>
        <w:ind w:left="288" w:hanging="288"/>
      </w:pPr>
      <w:r>
        <w:rPr>
          <w:b w:val="0"/>
        </w:rPr>
        <w:t xml:space="preserve">2. На странице проектов ССТ есть </w:t>
      </w:r>
      <w:r>
        <w:rPr>
          <w:b/>
        </w:rPr>
        <w:t>531 м</w:t>
      </w:r>
      <w:r>
        <w:rPr>
          <w:b w:val="0"/>
        </w:rPr>
        <w:t xml:space="preserve"> саморегулирующегося кабеля на Совхозном ПХГ, 2012 год. Это другой объект, хотя расположен в Оренбургской области и связан с газовой инфраструктурой. [</w:t>
      </w:r>
      <w:hyperlink w:anchor="src_H02">
        <w:r>
          <w:rPr>
            <w:color w:val="185F7D"/>
          </w:rPr>
          <w:t>H02</w:t>
        </w:r>
      </w:hyperlink>
      <w:r>
        <w:rPr>
          <w:b w:val="0"/>
        </w:rPr>
        <w:t>]</w:t>
      </w:r>
    </w:p>
    <w:p>
      <w:pPr>
        <w:ind w:left="288" w:hanging="288"/>
      </w:pPr>
      <w:r>
        <w:rPr>
          <w:b w:val="0"/>
        </w:rPr>
        <w:t xml:space="preserve">3. Официальный план ГСП на март 2023 года содержит капремонт и ТО электрооборудования ОГПЗ, позиции 3080–3081; вид работ обозначен как </w:t>
      </w:r>
      <w:r>
        <w:rPr>
          <w:b/>
        </w:rPr>
        <w:t>электрохимическая защита</w:t>
      </w:r>
      <w:r>
        <w:rPr>
          <w:b w:val="0"/>
        </w:rPr>
        <w:t>. Аббревиатура «ЭО» в названии электрооборудования здесь не доказательство электрообогрева. [</w:t>
      </w:r>
      <w:hyperlink w:anchor="src_H01">
        <w:r>
          <w:rPr>
            <w:color w:val="185F7D"/>
          </w:rPr>
          <w:t>H01</w:t>
        </w:r>
      </w:hyperlink>
      <w:r>
        <w:rPr>
          <w:b w:val="0"/>
        </w:rPr>
        <w:t>, с. 13]</w:t>
      </w:r>
    </w:p>
    <w:p>
      <w:r>
        <w:rPr>
          <w:b w:val="0"/>
        </w:rPr>
        <w:t>Чтобы установить реального конкурента/сервис, нужны хотя бы один паспорт нагревательной секции, маркировка шкафа с привязкой к установке, спецификация из исполнительной документации либо договор ТО с перечнем цепей. Для ремонтной продажи дополнительно нужен дефект или документированная задача изменения режима. Фотография без номера установки и общий референс на «Газпром» недостаточны.</w:t>
      </w:r>
    </w:p>
    <w:p>
      <w:pPr>
        <w:pStyle w:val="Heading1"/>
      </w:pPr>
      <w:r>
        <w:t>6  Закупки и ремонтные документы  подтвержденный объем и ограничения</w:t>
      </w:r>
    </w:p>
    <w:p>
      <w:pPr>
        <w:pStyle w:val="Heading2"/>
      </w:pPr>
      <w:r>
        <w:t>6.1. Q01  теплоизоляция 2У-350 и 3У-370, 2026</w:t>
      </w:r>
    </w:p>
    <w:p>
      <w:r>
        <w:rPr>
          <w:b w:val="0"/>
        </w:rPr>
        <w:t xml:space="preserve">Прочитан протокол №1/10/26/2/11303/ГСПР/13.07.2026 от </w:t>
      </w:r>
      <w:r>
        <w:rPr>
          <w:b/>
        </w:rPr>
        <w:t>23.07.2026</w:t>
      </w:r>
      <w:r>
        <w:rPr>
          <w:b w:val="0"/>
        </w:rPr>
        <w:t xml:space="preserve">. В таблице один участник — ООО «ТЕПЛОИЗОЛЯЦИЯ-1», его заявка признана лучшей. Дата появления файла в Бикотендере 30 июля не является датой решения. НМЦ — </w:t>
      </w:r>
      <w:r>
        <w:rPr>
          <w:b/>
        </w:rPr>
        <w:t>133 094 591,49 руб. с НДС</w:t>
      </w:r>
      <w:r>
        <w:rPr>
          <w:b w:val="0"/>
        </w:rPr>
        <w:t>, информационная карта указывает 22%, без НДС — 109 093 927,45 руб. Итоговая цена, подписание договора и фактическое исполнение не установлены. [</w:t>
      </w:r>
      <w:hyperlink w:anchor="src_Q01_F002">
        <w:r>
          <w:rPr>
            <w:color w:val="185F7D"/>
          </w:rPr>
          <w:t>Q01-F002</w:t>
        </w:r>
      </w:hyperlink>
      <w:r>
        <w:rPr>
          <w:b w:val="0"/>
        </w:rPr>
        <w:t xml:space="preserve">; </w:t>
      </w:r>
      <w:hyperlink w:anchor="src_Q01_INFO">
        <w:r>
          <w:rPr>
            <w:color w:val="185F7D"/>
          </w:rPr>
          <w:t>Q01-INFO</w:t>
        </w:r>
      </w:hyperlink>
      <w:r>
        <w:rPr>
          <w:b w:val="0"/>
        </w:rPr>
        <w:t>]</w:t>
      </w:r>
    </w:p>
    <w:p>
      <w:r>
        <w:rPr>
          <w:b w:val="0"/>
        </w:rPr>
        <w:t>Приложение №1 раскрывает три строки: 2У-350 — 12 единиц трубопроводов, 1 108 м², переходящий заказ с 2025 года, срок до 06.09.2026; 3У-370 — три группы по 12 единиц, площади 3 509,1 / 3 483,6 / 3 588,7 м²; сосуды и резервуары 3У-370 — 17 единиц, 610 м². Для 3У-370 плановый период — 30.07–28.08.2026. Это объемы приложения, не рассчитанный нами объем доступного субподряда. [</w:t>
      </w:r>
      <w:hyperlink w:anchor="src_Q01_F007">
        <w:r>
          <w:rPr>
            <w:color w:val="185F7D"/>
          </w:rPr>
          <w:t>Q01-F007</w:t>
        </w:r>
      </w:hyperlink>
      <w:r>
        <w:rPr>
          <w:b w:val="0"/>
        </w:rPr>
        <w:t>]</w:t>
      </w:r>
    </w:p>
    <w:p>
      <w:r>
        <w:rPr>
          <w:b w:val="0"/>
        </w:rPr>
        <w:t xml:space="preserve">В ВД №142000119951 по 2У-350 указано </w:t>
      </w:r>
      <w:r>
        <w:rPr>
          <w:b/>
        </w:rPr>
        <w:t>1 180 м²</w:t>
      </w:r>
      <w:r>
        <w:rPr>
          <w:b w:val="0"/>
        </w:rPr>
        <w:t>, что расходится с 1 108 м² приложения. В составе есть основная и дополнительные ведомости; демонтаж, монтаж и расход материалов имеют разные измерители. Поэтому агрегированная площадь для цены не рассчитана. Материалы включают минераловатные маты, металлическое покрытие, крепеж; в отдельных строках есть стеклопластик и демонтаж асбестового шнура. Позиции греющего кабеля и ремонт электрических цепей в прочитанном составе не обнаружены. [</w:t>
      </w:r>
      <w:hyperlink w:anchor="src_Q01_F009">
        <w:r>
          <w:rPr>
            <w:color w:val="185F7D"/>
          </w:rPr>
          <w:t>Q01-F009</w:t>
        </w:r>
      </w:hyperlink>
      <w:r>
        <w:rPr>
          <w:b w:val="0"/>
        </w:rPr>
        <w:t xml:space="preserve">; </w:t>
      </w:r>
      <w:hyperlink w:anchor="src_Q01_F010">
        <w:r>
          <w:rPr>
            <w:color w:val="185F7D"/>
          </w:rPr>
          <w:t>Q01-F010</w:t>
        </w:r>
      </w:hyperlink>
      <w:r>
        <w:rPr>
          <w:b w:val="0"/>
        </w:rPr>
        <w:t xml:space="preserve">; </w:t>
      </w:r>
      <w:hyperlink w:anchor="src_Q01_F011">
        <w:r>
          <w:rPr>
            <w:color w:val="185F7D"/>
          </w:rPr>
          <w:t>Q01-F011</w:t>
        </w:r>
      </w:hyperlink>
      <w:r>
        <w:rPr>
          <w:b w:val="0"/>
        </w:rPr>
        <w:t xml:space="preserve">; </w:t>
      </w:r>
      <w:hyperlink w:anchor="src_Q01_F012">
        <w:r>
          <w:rPr>
            <w:color w:val="185F7D"/>
          </w:rPr>
          <w:t>Q01-F012</w:t>
        </w:r>
      </w:hyperlink>
      <w:r>
        <w:rPr>
          <w:b w:val="0"/>
        </w:rPr>
        <w:t xml:space="preserve">; </w:t>
      </w:r>
      <w:hyperlink w:anchor="src_Q01_F013">
        <w:r>
          <w:rPr>
            <w:color w:val="185F7D"/>
          </w:rPr>
          <w:t>Q01-F013</w:t>
        </w:r>
      </w:hyperlink>
      <w:r>
        <w:rPr>
          <w:b w:val="0"/>
        </w:rPr>
        <w:t xml:space="preserve">; </w:t>
      </w:r>
      <w:hyperlink w:anchor="src_Q01_F014">
        <w:r>
          <w:rPr>
            <w:color w:val="185F7D"/>
          </w:rPr>
          <w:t>Q01-F014</w:t>
        </w:r>
      </w:hyperlink>
      <w:r>
        <w:rPr>
          <w:b w:val="0"/>
        </w:rPr>
        <w:t xml:space="preserve">; </w:t>
      </w:r>
      <w:hyperlink w:anchor="src_Q01_F015">
        <w:r>
          <w:rPr>
            <w:color w:val="185F7D"/>
          </w:rPr>
          <w:t>Q01-F015</w:t>
        </w:r>
      </w:hyperlink>
      <w:r>
        <w:rPr>
          <w:b w:val="0"/>
        </w:rPr>
        <w:t xml:space="preserve">; </w:t>
      </w:r>
      <w:hyperlink w:anchor="src_Q01_F016">
        <w:r>
          <w:rPr>
            <w:color w:val="185F7D"/>
          </w:rPr>
          <w:t>Q01-F016</w:t>
        </w:r>
      </w:hyperlink>
      <w:r>
        <w:rPr>
          <w:b w:val="0"/>
        </w:rPr>
        <w:t>]</w:t>
      </w:r>
    </w:p>
    <w:p>
      <w:r>
        <w:rPr>
          <w:b w:val="0"/>
        </w:rPr>
        <w:t>Коммерческий смысл для ЭО: установить, существует ли на этих трубопроводах электрообогрев, и входит ли его контроль/восстановление в другую ведомость. Сам выигранный лот изоляции не подтверждает такой объем. Для дополнительного направления теплоизоляции — это история спроса и известный участник; текущий свободный остаток и повторение в 2027 году неизвестны.</w:t>
      </w:r>
    </w:p>
    <w:p>
      <w:pPr>
        <w:pStyle w:val="Heading2"/>
      </w:pPr>
      <w:r>
        <w:t>6.2. Q02 Q03  серные ямы 2026 и 2027</w:t>
      </w:r>
    </w:p>
    <w:p>
      <w:r>
        <w:rPr>
          <w:b w:val="0"/>
        </w:rPr>
        <w:t xml:space="preserve">По </w:t>
      </w:r>
      <w:hyperlink w:anchor="src_Q02">
        <w:r>
          <w:rPr>
            <w:color w:val="185F7D"/>
          </w:rPr>
          <w:t>Q02</w:t>
        </w:r>
      </w:hyperlink>
      <w:r>
        <w:rPr>
          <w:b w:val="0"/>
        </w:rPr>
        <w:t xml:space="preserve"> НМЦ </w:t>
      </w:r>
      <w:r>
        <w:rPr>
          <w:b/>
        </w:rPr>
        <w:t>54 433 317,87 руб. с НДС</w:t>
      </w:r>
      <w:r>
        <w:rPr>
          <w:b w:val="0"/>
        </w:rPr>
        <w:t>, инфокарта 22%; работы до 31.12.2026. Ведомость 61Т04 описывает строительный ремонт бетона и кислотоупорной футеровки. Три другие ведомости — герметизация примыканий алюминиевых крыш У359Т02, У351Т01 и У359Т03 асбестовым шнуром с жидким стеклом. Длины швов 219/383/219 м нельзя представлять метрами кабеля. [</w:t>
      </w:r>
      <w:hyperlink w:anchor="src_Q02_F046">
        <w:r>
          <w:rPr>
            <w:color w:val="185F7D"/>
          </w:rPr>
          <w:t>Q02-F046</w:t>
        </w:r>
      </w:hyperlink>
      <w:r>
        <w:rPr>
          <w:b w:val="0"/>
        </w:rPr>
        <w:t xml:space="preserve">; </w:t>
      </w:r>
      <w:hyperlink w:anchor="src_Q02_F048">
        <w:r>
          <w:rPr>
            <w:color w:val="185F7D"/>
          </w:rPr>
          <w:t>Q02-F048</w:t>
        </w:r>
      </w:hyperlink>
      <w:r>
        <w:rPr>
          <w:b w:val="0"/>
        </w:rPr>
        <w:t xml:space="preserve">–F051; </w:t>
      </w:r>
      <w:hyperlink w:anchor="src_Q02_F063">
        <w:r>
          <w:rPr>
            <w:color w:val="185F7D"/>
          </w:rPr>
          <w:t>Q02-F063</w:t>
        </w:r>
      </w:hyperlink>
      <w:r>
        <w:rPr>
          <w:b w:val="0"/>
        </w:rPr>
        <w:t>]</w:t>
      </w:r>
    </w:p>
    <w:p>
      <w:r>
        <w:rPr>
          <w:b w:val="0"/>
        </w:rPr>
        <w:t xml:space="preserve">По </w:t>
      </w:r>
      <w:hyperlink w:anchor="src_Q03">
        <w:r>
          <w:rPr>
            <w:color w:val="185F7D"/>
          </w:rPr>
          <w:t>Q03</w:t>
        </w:r>
      </w:hyperlink>
      <w:r>
        <w:rPr>
          <w:b w:val="0"/>
        </w:rPr>
        <w:t xml:space="preserve"> НМЦ </w:t>
      </w:r>
      <w:r>
        <w:rPr>
          <w:b/>
        </w:rPr>
        <w:t>191 268 325,34 руб. с НДС</w:t>
      </w:r>
      <w:r>
        <w:rPr>
          <w:b w:val="0"/>
        </w:rPr>
        <w:t>, инфокарта 22%. В приложении семь строк на шесть физических объектов: 61Т03 имеет отдельно футеровку и крышу; также 13ST802E, 2У351Е12, У359Т02, У351Т01, У359Т03. Плановые периоды — март–октябрь 2027 года. Прочитанные ВД раскрывают бетон, кирпич, металлическую кровлю и герметизацию; профильная электрическая система не найдена. В форме КП сохранена колонка НДС 20%, расходящаяся с инфокартой 22%; для суммы использована инфокарта, противоречие сохранено. [</w:t>
      </w:r>
      <w:hyperlink w:anchor="src_Q03_F048">
        <w:r>
          <w:rPr>
            <w:color w:val="185F7D"/>
          </w:rPr>
          <w:t>Q03-F048</w:t>
        </w:r>
      </w:hyperlink>
      <w:r>
        <w:rPr>
          <w:b w:val="0"/>
        </w:rPr>
        <w:t xml:space="preserve">; </w:t>
      </w:r>
      <w:hyperlink w:anchor="src_Q03_F057">
        <w:r>
          <w:rPr>
            <w:color w:val="185F7D"/>
          </w:rPr>
          <w:t>Q03-F057</w:t>
        </w:r>
      </w:hyperlink>
      <w:r>
        <w:rPr>
          <w:b w:val="0"/>
        </w:rPr>
        <w:t xml:space="preserve">; </w:t>
      </w:r>
      <w:hyperlink w:anchor="src_Q03_F062">
        <w:r>
          <w:rPr>
            <w:color w:val="185F7D"/>
          </w:rPr>
          <w:t>Q03-F062</w:t>
        </w:r>
      </w:hyperlink>
      <w:r>
        <w:rPr>
          <w:b w:val="0"/>
        </w:rPr>
        <w:t xml:space="preserve">; </w:t>
      </w:r>
      <w:hyperlink w:anchor="src_Q03_F072">
        <w:r>
          <w:rPr>
            <w:color w:val="185F7D"/>
          </w:rPr>
          <w:t>Q03-F072</w:t>
        </w:r>
      </w:hyperlink>
      <w:r>
        <w:rPr>
          <w:b w:val="0"/>
        </w:rPr>
        <w:t xml:space="preserve">; </w:t>
      </w:r>
      <w:hyperlink w:anchor="src_Q03_F080">
        <w:r>
          <w:rPr>
            <w:color w:val="185F7D"/>
          </w:rPr>
          <w:t>Q03-F080</w:t>
        </w:r>
      </w:hyperlink>
      <w:r>
        <w:rPr>
          <w:b w:val="0"/>
        </w:rPr>
        <w:t xml:space="preserve">; </w:t>
      </w:r>
      <w:hyperlink w:anchor="src_Q03_F086">
        <w:r>
          <w:rPr>
            <w:color w:val="185F7D"/>
          </w:rPr>
          <w:t>Q03-F086</w:t>
        </w:r>
      </w:hyperlink>
      <w:r>
        <w:rPr>
          <w:b w:val="0"/>
        </w:rPr>
        <w:t xml:space="preserve">; </w:t>
      </w:r>
      <w:hyperlink w:anchor="src_Q03_F096">
        <w:r>
          <w:rPr>
            <w:color w:val="185F7D"/>
          </w:rPr>
          <w:t>Q03-F096</w:t>
        </w:r>
      </w:hyperlink>
      <w:r>
        <w:rPr>
          <w:b w:val="0"/>
        </w:rPr>
        <w:t xml:space="preserve">; </w:t>
      </w:r>
      <w:hyperlink w:anchor="src_Q03_F102">
        <w:r>
          <w:rPr>
            <w:color w:val="185F7D"/>
          </w:rPr>
          <w:t>Q03-F102</w:t>
        </w:r>
      </w:hyperlink>
      <w:r>
        <w:rPr>
          <w:b w:val="0"/>
        </w:rPr>
        <w:t xml:space="preserve">; </w:t>
      </w:r>
      <w:hyperlink w:anchor="src_Q03_F114">
        <w:r>
          <w:rPr>
            <w:color w:val="185F7D"/>
          </w:rPr>
          <w:t>Q03-F114</w:t>
        </w:r>
      </w:hyperlink>
      <w:r>
        <w:rPr>
          <w:b w:val="0"/>
        </w:rPr>
        <w:t>]</w:t>
      </w:r>
    </w:p>
    <w:p>
      <w:r>
        <w:rPr>
          <w:b w:val="0"/>
        </w:rPr>
        <w:t xml:space="preserve">Более ранний июльский лот </w:t>
      </w:r>
      <w:hyperlink w:anchor="src_Q09">
        <w:r>
          <w:rPr>
            <w:color w:val="185F7D"/>
          </w:rPr>
          <w:t>Q09</w:t>
        </w:r>
      </w:hyperlink>
      <w:r>
        <w:rPr>
          <w:b w:val="0"/>
        </w:rPr>
        <w:t xml:space="preserve"> на 115,48 млн руб. может быть связан с перевыставлением или изменением состава, но документальная сверка этой связи не выполнена. Его сумма </w:t>
      </w:r>
      <w:r>
        <w:rPr>
          <w:b/>
        </w:rPr>
        <w:t>не прибавлена</w:t>
      </w:r>
      <w:r>
        <w:rPr>
          <w:b w:val="0"/>
        </w:rPr>
        <w:t xml:space="preserve"> к </w:t>
      </w:r>
      <w:hyperlink w:anchor="src_Q02">
        <w:r>
          <w:rPr>
            <w:color w:val="185F7D"/>
          </w:rPr>
          <w:t>Q02</w:t>
        </w:r>
      </w:hyperlink>
      <w:r>
        <w:rPr>
          <w:b w:val="0"/>
        </w:rPr>
        <w:t>. Полный строительный объем серных ям исключен из возможностей электрообогрева. Возврат к нему возможен при отдельном задании на конкретную систему обогрева.</w:t>
      </w:r>
    </w:p>
    <w:p>
      <w:pPr>
        <w:pStyle w:val="Heading2"/>
      </w:pPr>
      <w:r>
        <w:t>6.3. Q04  ремонт теплоснабжения и HVAC, 2027</w:t>
      </w:r>
    </w:p>
    <w:p>
      <w:r>
        <w:rPr>
          <w:b w:val="0"/>
        </w:rPr>
        <w:t xml:space="preserve">Информационная карта: </w:t>
      </w:r>
      <w:r>
        <w:rPr>
          <w:b/>
        </w:rPr>
        <w:t>21 509 816,10 руб. с НДС 22%</w:t>
      </w:r>
      <w:r>
        <w:rPr>
          <w:b w:val="0"/>
        </w:rPr>
        <w:t>, без НДС 17 630 996,80 руб. Приложение №1 содержит 14 строк ОГПЗ, преимущественно подготовку трубопроводов пара/горячей воды к НК. Название здания КИПиА не означает ремонт обогрева приборных шкафов: ресурсная ведомость относится к водоснабжению ИТП. [</w:t>
      </w:r>
      <w:hyperlink w:anchor="src_Q04_F002">
        <w:r>
          <w:rPr>
            <w:color w:val="185F7D"/>
          </w:rPr>
          <w:t>Q04-F002</w:t>
        </w:r>
      </w:hyperlink>
      <w:r>
        <w:rPr>
          <w:b w:val="0"/>
        </w:rPr>
        <w:t xml:space="preserve">; </w:t>
      </w:r>
      <w:hyperlink w:anchor="src_Q04_F019">
        <w:r>
          <w:rPr>
            <w:color w:val="185F7D"/>
          </w:rPr>
          <w:t>Q04-F019</w:t>
        </w:r>
      </w:hyperlink>
      <w:r>
        <w:rPr>
          <w:b w:val="0"/>
        </w:rPr>
        <w:t xml:space="preserve">; </w:t>
      </w:r>
      <w:hyperlink w:anchor="src_Q04_F024">
        <w:r>
          <w:rPr>
            <w:color w:val="185F7D"/>
          </w:rPr>
          <w:t>Q04-F024</w:t>
        </w:r>
      </w:hyperlink>
      <w:r>
        <w:rPr>
          <w:b w:val="0"/>
        </w:rPr>
        <w:t>]</w:t>
      </w:r>
    </w:p>
    <w:p>
      <w:r>
        <w:rPr>
          <w:b w:val="0"/>
        </w:rPr>
        <w:t xml:space="preserve">Найден профильный </w:t>
      </w:r>
      <w:r>
        <w:rPr>
          <w:b/>
        </w:rPr>
        <w:t>дополнительный</w:t>
      </w:r>
      <w:r>
        <w:rPr>
          <w:b w:val="0"/>
        </w:rPr>
        <w:t xml:space="preserve"> объем: ВД №142000114348 от 30.10.2025, «АБК с гаражом на 50 спецмашин», inv03*4441. На 2027 год указаны коррозия, деформация и отсутствие частей изоляции трубопроводов пара среднего давления; монтаж покрытия — 10,41 × 100 м² = </w:t>
      </w:r>
      <w:r>
        <w:rPr>
          <w:b/>
        </w:rPr>
        <w:t>1 041 м²</w:t>
      </w:r>
      <w:r>
        <w:rPr>
          <w:b w:val="0"/>
        </w:rPr>
        <w:t xml:space="preserve">, изоляции — </w:t>
      </w:r>
      <w:r>
        <w:rPr>
          <w:b/>
        </w:rPr>
        <w:t>56,64 м³</w:t>
      </w:r>
      <w:r>
        <w:rPr>
          <w:b w:val="0"/>
        </w:rPr>
        <w:t>. Закупаемые материалы в этой ВД: минеральные маты М125 58,34 м³ с коэффициентом расхода; оцинкованная сталь 1 270 м² / 5,5 т. Объем работ и объем закупки материалов не тождественны. [</w:t>
      </w:r>
      <w:hyperlink w:anchor="src_Q04_F032">
        <w:r>
          <w:rPr>
            <w:color w:val="185F7D"/>
          </w:rPr>
          <w:t>Q04-F032</w:t>
        </w:r>
      </w:hyperlink>
      <w:r>
        <w:rPr>
          <w:b w:val="0"/>
        </w:rPr>
        <w:t>, с. 1–3]</w:t>
      </w:r>
    </w:p>
    <w:p>
      <w:r>
        <w:rPr>
          <w:b w:val="0"/>
        </w:rPr>
        <w:t xml:space="preserve">Ведомость требует уточнения: диаметры и длины в операции монтажа минваты на с. 3 не совпадают с перечнем демонтажа/металлического покрытия на с. 1–2. Кроме того, PDF №142000111162 внутри пакета имеет титул </w:t>
      </w:r>
      <w:r>
        <w:rPr>
          <w:b/>
        </w:rPr>
        <w:t>Астраханского ГПЗ</w:t>
      </w:r>
      <w:r>
        <w:rPr>
          <w:b w:val="0"/>
        </w:rPr>
        <w:t>, inv103885. Его 73,28 м² монтажа изоляции исключены из ОГПЗ. Это не ошибка распознавания названия: титул проверен визуально. [</w:t>
      </w:r>
      <w:hyperlink w:anchor="src_Q04_F030">
        <w:r>
          <w:rPr>
            <w:color w:val="185F7D"/>
          </w:rPr>
          <w:t>Q04-F030</w:t>
        </w:r>
      </w:hyperlink>
      <w:r>
        <w:rPr>
          <w:b w:val="0"/>
        </w:rPr>
        <w:t>]</w:t>
      </w:r>
    </w:p>
    <w:p>
      <w:r>
        <w:rPr>
          <w:b w:val="0"/>
        </w:rPr>
        <w:t xml:space="preserve">Победитель </w:t>
      </w:r>
      <w:hyperlink w:anchor="src_Q04">
        <w:r>
          <w:rPr>
            <w:color w:val="185F7D"/>
          </w:rPr>
          <w:t>Q04</w:t>
        </w:r>
      </w:hyperlink>
      <w:r>
        <w:rPr>
          <w:b w:val="0"/>
        </w:rPr>
        <w:t xml:space="preserve"> не установлен. Следующий шаг по теплоизоляции — узнать исполнителя и свободную комплектацию, затем сверить ВД. По ЭО — только уточнение смежных границ; никаких цепей ЭО этим пакетом не подтверждено.</w:t>
      </w:r>
    </w:p>
    <w:p>
      <w:pPr>
        <w:pStyle w:val="Heading2"/>
      </w:pPr>
      <w:r>
        <w:t>6.4. Допуск и договорная схема</w:t>
      </w:r>
    </w:p>
    <w:p>
      <w:r>
        <w:rPr>
          <w:b w:val="0"/>
        </w:rPr>
        <w:t xml:space="preserve">В ТЗ </w:t>
      </w:r>
      <w:hyperlink w:anchor="src_Q01">
        <w:r>
          <w:rPr>
            <w:color w:val="185F7D"/>
          </w:rPr>
          <w:t>Q01</w:t>
        </w:r>
      </w:hyperlink>
      <w:r>
        <w:rPr>
          <w:b w:val="0"/>
        </w:rPr>
        <w:t xml:space="preserve"> предусмотрены опыт трех завершенных аналогичных договоров в нефтегазовом комплексе за последние три года, объем не менее 50% предмета закупки, СРО, документ о включении в реестр потенциальных участников, служба контроля качества и минимальные кадровые ресурсы. Это требования конкретного комплексного ремонтного пакета, а не универсальные требования к любому поставщику кабеля. Наличие нужных подтверждений у КРУС в этом исследовании не установлено. Формулировки по сертификатам и условия «при наличии» нужно проверять по конкретному разделу, а не объявлять все сертификаты безусловным допуском. [</w:t>
      </w:r>
      <w:hyperlink w:anchor="src_Q01_F005">
        <w:r>
          <w:rPr>
            <w:color w:val="185F7D"/>
          </w:rPr>
          <w:t>Q01-F005</w:t>
        </w:r>
      </w:hyperlink>
      <w:r>
        <w:rPr>
          <w:b w:val="0"/>
        </w:rPr>
        <w:t>]</w:t>
      </w:r>
    </w:p>
    <w:p>
      <w:r>
        <w:rPr>
          <w:b w:val="0"/>
        </w:rPr>
        <w:t xml:space="preserve">Типовой проект договора </w:t>
      </w:r>
      <w:hyperlink w:anchor="src_Q04">
        <w:r>
          <w:rPr>
            <w:color w:val="185F7D"/>
          </w:rPr>
          <w:t>Q04</w:t>
        </w:r>
      </w:hyperlink>
      <w:r>
        <w:rPr>
          <w:b w:val="0"/>
        </w:rPr>
        <w:t xml:space="preserve"> показывает важные ограничения канала субподряда. Согласование привлекаемого исполнителя предусмотрено заранее, в п.5.8 указан срок 60 календарных дней до работ. Оплата по разделу 9 связана с получением средств от заказчика и отдельными счетами банковского сопровождения; аванс до 30% имеет условия и зависит от поступления аванса генподрядчику. Поэтому надпись агрегатора «аванс 30%» нельзя принимать за безусловное финансирование. Это анализ прочитанного проекта, не заключенного договора. [</w:t>
      </w:r>
      <w:hyperlink w:anchor="src_Q04_CONTRACT">
        <w:r>
          <w:rPr>
            <w:color w:val="185F7D"/>
          </w:rPr>
          <w:t>Q04-CONTRACT</w:t>
        </w:r>
      </w:hyperlink>
      <w:r>
        <w:rPr>
          <w:b w:val="0"/>
        </w:rPr>
        <w:t>, п.5.8, 9]</w:t>
      </w:r>
    </w:p>
    <w:p>
      <w:r>
        <w:rPr>
          <w:b w:val="0"/>
        </w:rPr>
        <w:t>В определениях договора названо ООО «ГСП-Комплектация» как поставщик МТР генподрядчика по разделительной ведомости. Но эта роль не доказывает, что оно закупает весь возможный электрообогрев ОГПЗ. Нужно выяснить принадлежность конкретной позиции: заказчик, генподрядчик, комплектатор или субподрядчик. Замена материалов аналогами требует согласованного изменения; запрет альтернативного предложения в закупке и согласование технического аналога при исполнении — разные процедуры. [</w:t>
      </w:r>
      <w:hyperlink w:anchor="src_Q04_CONTRACT">
        <w:r>
          <w:rPr>
            <w:color w:val="185F7D"/>
          </w:rPr>
          <w:t>Q04-CONTRACT</w:t>
        </w:r>
      </w:hyperlink>
      <w:r>
        <w:rPr>
          <w:b w:val="0"/>
        </w:rPr>
        <w:t xml:space="preserve">, определения и п.8.22; </w:t>
      </w:r>
      <w:hyperlink w:anchor="src_Q01_INFO">
        <w:r>
          <w:rPr>
            <w:color w:val="185F7D"/>
          </w:rPr>
          <w:t>Q01-INFO</w:t>
        </w:r>
      </w:hyperlink>
      <w:r>
        <w:rPr>
          <w:b w:val="0"/>
        </w:rPr>
        <w:t>]</w:t>
      </w:r>
    </w:p>
    <w:p>
      <w:pPr>
        <w:pStyle w:val="Heading1"/>
      </w:pPr>
      <w:r>
        <w:t>7  Кто формирует решение и через кого входить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73"/>
        <w:gridCol w:w="3816"/>
        <w:gridCol w:w="4104"/>
      </w:tblGrid>
      <w:tr>
        <w:trPr>
          <w:cantSplit/>
          <w:tblHeader/>
        </w:trPr>
        <w:tc>
          <w:tcPr>
            <w:tcW w:type="dxa" w:w="1973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E9ECEF"/>
          </w:tcPr>
          <w:p>
            <w:pPr>
              <w:spacing w:after="60" w:line="240" w:lineRule="auto"/>
            </w:pPr>
            <w:r>
              <w:rPr>
                <w:b/>
                <w:sz w:val="19"/>
              </w:rPr>
              <w:t>Канал</w:t>
            </w:r>
          </w:p>
        </w:tc>
        <w:tc>
          <w:tcPr>
            <w:tcW w:type="dxa" w:w="3816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E9ECEF"/>
          </w:tcPr>
          <w:p>
            <w:pPr>
              <w:spacing w:after="60" w:line="240" w:lineRule="auto"/>
            </w:pPr>
            <w:r>
              <w:rPr>
                <w:b/>
                <w:sz w:val="19"/>
              </w:rPr>
              <w:t>Подтвержденный адресат</w:t>
            </w:r>
          </w:p>
        </w:tc>
        <w:tc>
          <w:tcPr>
            <w:tcW w:type="dxa" w:w="4104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E9ECEF"/>
          </w:tcPr>
          <w:p>
            <w:pPr>
              <w:spacing w:after="60" w:line="240" w:lineRule="auto"/>
            </w:pPr>
            <w:r>
              <w:rPr>
                <w:b/>
                <w:sz w:val="19"/>
              </w:rPr>
              <w:t>Что получить для продажи электрообогрева</w:t>
            </w:r>
          </w:p>
        </w:tc>
      </w:tr>
      <w:tr>
        <w:trPr>
          <w:cantSplit/>
        </w:trPr>
        <w:tc>
          <w:tcPr>
            <w:tcW w:type="dxa" w:w="1973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FFFFFF"/>
          </w:tcPr>
          <w:p>
            <w:pPr>
              <w:spacing w:after="60" w:line="240" w:lineRule="auto"/>
            </w:pPr>
            <w:r>
              <w:rPr>
                <w:b w:val="0"/>
                <w:sz w:val="19"/>
              </w:rPr>
              <w:t>Новый проект</w:t>
            </w:r>
          </w:p>
        </w:tc>
        <w:tc>
          <w:tcPr>
            <w:tcW w:type="dxa" w:w="3816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FFFFFF"/>
          </w:tcPr>
          <w:p>
            <w:pPr>
              <w:spacing w:after="60" w:line="240" w:lineRule="auto"/>
            </w:pPr>
            <w:r>
              <w:rPr>
                <w:b w:val="0"/>
                <w:sz w:val="19"/>
              </w:rPr>
              <w:t>ГЛ Инжиниринг, ГИП Сергей Алексеевич Зорин; s.zorin@gle.ru; +7(812)612-09-42 доб.1458</w:t>
            </w:r>
          </w:p>
        </w:tc>
        <w:tc>
          <w:tcPr>
            <w:tcW w:type="dxa" w:w="4104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FFFFFF"/>
          </w:tcPr>
          <w:p>
            <w:pPr>
              <w:spacing w:after="60" w:line="240" w:lineRule="auto"/>
            </w:pPr>
            <w:r>
              <w:rPr>
                <w:b w:val="0"/>
                <w:sz w:val="19"/>
              </w:rPr>
              <w:t>Профильную проектную группу, перечень линий с температурными задачами, стадию РД, требования к комплекту</w:t>
            </w:r>
          </w:p>
        </w:tc>
      </w:tr>
      <w:tr>
        <w:trPr>
          <w:cantSplit/>
        </w:trPr>
        <w:tc>
          <w:tcPr>
            <w:tcW w:type="dxa" w:w="1973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F7F8F9"/>
          </w:tcPr>
          <w:p>
            <w:pPr>
              <w:spacing w:after="60" w:line="240" w:lineRule="auto"/>
            </w:pPr>
            <w:r>
              <w:rPr>
                <w:b w:val="0"/>
                <w:sz w:val="19"/>
              </w:rPr>
              <w:t>Проектный заказчик</w:t>
            </w:r>
          </w:p>
        </w:tc>
        <w:tc>
          <w:tcPr>
            <w:tcW w:type="dxa" w:w="3816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F7F8F9"/>
          </w:tcPr>
          <w:p>
            <w:pPr>
              <w:spacing w:after="60" w:line="240" w:lineRule="auto"/>
            </w:pPr>
            <w:r>
              <w:rPr>
                <w:b w:val="0"/>
                <w:sz w:val="19"/>
              </w:rPr>
              <w:t>Газпром инвест, Сергей Николаевич Сазонов; ssazonov@invest.gazprom.ru; +7(812)455-17-00</w:t>
            </w:r>
          </w:p>
        </w:tc>
        <w:tc>
          <w:tcPr>
            <w:tcW w:type="dxa" w:w="4104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F7F8F9"/>
          </w:tcPr>
          <w:p>
            <w:pPr>
              <w:spacing w:after="60" w:line="240" w:lineRule="auto"/>
            </w:pPr>
            <w:r>
              <w:rPr>
                <w:b w:val="0"/>
                <w:sz w:val="19"/>
              </w:rPr>
              <w:t>Этап реализации, границу будущей комплектации и закупки</w:t>
            </w:r>
          </w:p>
        </w:tc>
      </w:tr>
      <w:tr>
        <w:trPr>
          <w:cantSplit/>
        </w:trPr>
        <w:tc>
          <w:tcPr>
            <w:tcW w:type="dxa" w:w="1973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FFFFFF"/>
          </w:tcPr>
          <w:p>
            <w:pPr>
              <w:spacing w:after="60" w:line="240" w:lineRule="auto"/>
            </w:pPr>
            <w:r>
              <w:rPr>
                <w:b w:val="0"/>
                <w:sz w:val="19"/>
              </w:rPr>
              <w:t>Эксплуатация</w:t>
            </w:r>
          </w:p>
        </w:tc>
        <w:tc>
          <w:tcPr>
            <w:tcW w:type="dxa" w:w="3816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FFFFFF"/>
          </w:tcPr>
          <w:p>
            <w:pPr>
              <w:spacing w:after="60" w:line="240" w:lineRule="auto"/>
            </w:pPr>
            <w:r>
              <w:rPr>
                <w:b w:val="0"/>
                <w:sz w:val="19"/>
              </w:rPr>
              <w:t>Общая почта ОГПЗ ogpz@ogpz.gpp.gazprom.ru; +7(3532)73-52-01</w:t>
            </w:r>
          </w:p>
        </w:tc>
        <w:tc>
          <w:tcPr>
            <w:tcW w:type="dxa" w:w="4104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FFFFFF"/>
          </w:tcPr>
          <w:p>
            <w:pPr>
              <w:spacing w:after="60" w:line="240" w:lineRule="auto"/>
            </w:pPr>
            <w:r>
              <w:rPr>
                <w:b w:val="0"/>
                <w:sz w:val="19"/>
              </w:rPr>
              <w:t>Назначенного владельца систем ЭО, перечень цепей, дефектный участок, действующий сервис</w:t>
            </w:r>
          </w:p>
        </w:tc>
      </w:tr>
      <w:tr>
        <w:trPr>
          <w:cantSplit/>
        </w:trPr>
        <w:tc>
          <w:tcPr>
            <w:tcW w:type="dxa" w:w="1973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F7F8F9"/>
          </w:tcPr>
          <w:p>
            <w:pPr>
              <w:spacing w:after="60" w:line="240" w:lineRule="auto"/>
            </w:pPr>
            <w:r>
              <w:rPr>
                <w:b w:val="0"/>
                <w:sz w:val="19"/>
              </w:rPr>
              <w:t>Ремонтный канал</w:t>
            </w:r>
          </w:p>
        </w:tc>
        <w:tc>
          <w:tcPr>
            <w:tcW w:type="dxa" w:w="3816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F7F8F9"/>
          </w:tcPr>
          <w:p>
            <w:pPr>
              <w:spacing w:after="60" w:line="240" w:lineRule="auto"/>
            </w:pPr>
            <w:r>
              <w:rPr>
                <w:b w:val="0"/>
                <w:sz w:val="19"/>
              </w:rPr>
              <w:t xml:space="preserve">ГСП Ремонт, Дмитрий Леонидович Смоляков; SmolyakovDL@gsp-r.ru — пакет </w:t>
            </w:r>
            <w:hyperlink w:anchor="src_Q01">
              <w:r>
                <w:rPr>
                  <w:color w:val="185F7D"/>
                </w:rPr>
                <w:t>Q01</w:t>
              </w:r>
            </w:hyperlink>
          </w:p>
        </w:tc>
        <w:tc>
          <w:tcPr>
            <w:tcW w:type="dxa" w:w="4104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F7F8F9"/>
          </w:tcPr>
          <w:p>
            <w:pPr>
              <w:spacing w:after="60" w:line="240" w:lineRule="auto"/>
            </w:pPr>
            <w:r>
              <w:rPr>
                <w:b w:val="0"/>
                <w:sz w:val="19"/>
              </w:rPr>
              <w:t>Наличие ЭО на ремонтируемых установках и профильного инициатора; его роль именно в ЭО не доказана</w:t>
            </w:r>
          </w:p>
        </w:tc>
      </w:tr>
      <w:tr>
        <w:trPr>
          <w:cantSplit/>
        </w:trPr>
        <w:tc>
          <w:tcPr>
            <w:tcW w:type="dxa" w:w="1973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FFFFFF"/>
          </w:tcPr>
          <w:p>
            <w:pPr>
              <w:spacing w:after="60" w:line="240" w:lineRule="auto"/>
            </w:pPr>
            <w:r>
              <w:rPr>
                <w:b w:val="0"/>
                <w:sz w:val="19"/>
              </w:rPr>
              <w:t>Ремонт 2027</w:t>
            </w:r>
          </w:p>
        </w:tc>
        <w:tc>
          <w:tcPr>
            <w:tcW w:type="dxa" w:w="3816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FFFFFF"/>
          </w:tcPr>
          <w:p>
            <w:pPr>
              <w:spacing w:after="60" w:line="240" w:lineRule="auto"/>
            </w:pPr>
            <w:r>
              <w:rPr>
                <w:b w:val="0"/>
                <w:sz w:val="19"/>
              </w:rPr>
              <w:t>ГСП Ремонт, Дмитрий Валерьевич Маликов; malikovdv@gsp-r.ru; +7(495)221-38-73 доб.1646</w:t>
            </w:r>
          </w:p>
        </w:tc>
        <w:tc>
          <w:tcPr>
            <w:tcW w:type="dxa" w:w="4104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FFFFFF"/>
          </w:tcPr>
          <w:p>
            <w:pPr>
              <w:spacing w:after="60" w:line="240" w:lineRule="auto"/>
            </w:pPr>
            <w:r>
              <w:rPr>
                <w:b w:val="0"/>
                <w:sz w:val="19"/>
              </w:rPr>
              <w:t>Границы ремонта и ответственную цепочку; не предполагать, что он владелец всех ЭО-систем</w:t>
            </w:r>
          </w:p>
        </w:tc>
      </w:tr>
      <w:tr>
        <w:trPr>
          <w:cantSplit/>
        </w:trPr>
        <w:tc>
          <w:tcPr>
            <w:tcW w:type="dxa" w:w="1973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F7F8F9"/>
          </w:tcPr>
          <w:p>
            <w:pPr>
              <w:spacing w:after="60" w:line="240" w:lineRule="auto"/>
            </w:pPr>
            <w:r>
              <w:rPr>
                <w:b w:val="0"/>
                <w:sz w:val="19"/>
              </w:rPr>
              <w:t>Закупочный куратор</w:t>
            </w:r>
          </w:p>
        </w:tc>
        <w:tc>
          <w:tcPr>
            <w:tcW w:type="dxa" w:w="3816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F7F8F9"/>
          </w:tcPr>
          <w:p>
            <w:pPr>
              <w:spacing w:after="60" w:line="240" w:lineRule="auto"/>
            </w:pPr>
            <w:r>
              <w:rPr>
                <w:b w:val="0"/>
                <w:sz w:val="19"/>
              </w:rPr>
              <w:t xml:space="preserve">ГСП Центр, Никита Евгеньевич Решетнёв; ReshetnevNE@gsp-center.ru; +7(812)665-07-40 доб.7919 — </w:t>
            </w:r>
            <w:hyperlink w:anchor="src_Q01">
              <w:r>
                <w:rPr>
                  <w:color w:val="185F7D"/>
                </w:rPr>
                <w:t>Q01</w:t>
              </w:r>
            </w:hyperlink>
            <w:r>
              <w:rPr>
                <w:b w:val="0"/>
                <w:sz w:val="19"/>
              </w:rPr>
              <w:t>/</w:t>
            </w:r>
            <w:hyperlink w:anchor="src_Q03">
              <w:r>
                <w:rPr>
                  <w:color w:val="185F7D"/>
                </w:rPr>
                <w:t>Q03</w:t>
              </w:r>
            </w:hyperlink>
          </w:p>
        </w:tc>
        <w:tc>
          <w:tcPr>
            <w:tcW w:type="dxa" w:w="4104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F7F8F9"/>
          </w:tcPr>
          <w:p>
            <w:pPr>
              <w:spacing w:after="60" w:line="240" w:lineRule="auto"/>
            </w:pPr>
            <w:r>
              <w:rPr>
                <w:b w:val="0"/>
                <w:sz w:val="19"/>
              </w:rPr>
              <w:t>Протоколы, исполнителя, допустимый маршрут специализированного предложения</w:t>
            </w:r>
          </w:p>
        </w:tc>
      </w:tr>
      <w:tr>
        <w:trPr>
          <w:cantSplit/>
        </w:trPr>
        <w:tc>
          <w:tcPr>
            <w:tcW w:type="dxa" w:w="1973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FFFFFF"/>
          </w:tcPr>
          <w:p>
            <w:pPr>
              <w:spacing w:after="60" w:line="240" w:lineRule="auto"/>
            </w:pPr>
            <w:r>
              <w:rPr>
                <w:b w:val="0"/>
                <w:sz w:val="19"/>
              </w:rPr>
              <w:t>САКВ</w:t>
            </w:r>
          </w:p>
        </w:tc>
        <w:tc>
          <w:tcPr>
            <w:tcW w:type="dxa" w:w="3816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FFFFFF"/>
          </w:tcPr>
          <w:p>
            <w:pPr>
              <w:spacing w:after="60" w:line="240" w:lineRule="auto"/>
            </w:pPr>
            <w:r>
              <w:rPr>
                <w:b w:val="0"/>
                <w:sz w:val="19"/>
              </w:rPr>
              <w:t xml:space="preserve">Газпром проектирование, заказчик </w:t>
            </w:r>
            <w:hyperlink w:anchor="src_Q05">
              <w:r>
                <w:rPr>
                  <w:color w:val="185F7D"/>
                </w:rPr>
                <w:t>Q05</w:t>
              </w:r>
            </w:hyperlink>
            <w:r>
              <w:rPr>
                <w:b w:val="0"/>
                <w:sz w:val="19"/>
              </w:rPr>
              <w:t>; исполнитель ПИР пока не установлен</w:t>
            </w:r>
          </w:p>
        </w:tc>
        <w:tc>
          <w:tcPr>
            <w:tcW w:type="dxa" w:w="4104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FFFFFF"/>
          </w:tcPr>
          <w:p>
            <w:pPr>
              <w:spacing w:after="60" w:line="240" w:lineRule="auto"/>
            </w:pPr>
            <w:r>
              <w:rPr>
                <w:b w:val="0"/>
                <w:sz w:val="19"/>
              </w:rPr>
              <w:t>Победителя/ГИПа и интегратора, архитектуру отбора проб, требования к обогреву</w:t>
            </w:r>
          </w:p>
        </w:tc>
      </w:tr>
    </w:tbl>
    <w:p>
      <w:pPr>
        <w:spacing w:after="20"/>
      </w:pPr>
    </w:p>
    <w:p>
      <w:r>
        <w:rPr>
          <w:b w:val="0"/>
        </w:rPr>
        <w:t>Источники: [</w:t>
      </w:r>
      <w:hyperlink w:anchor="src_D01">
        <w:r>
          <w:rPr>
            <w:color w:val="185F7D"/>
          </w:rPr>
          <w:t>D01</w:t>
        </w:r>
      </w:hyperlink>
      <w:r>
        <w:rPr>
          <w:b w:val="0"/>
        </w:rPr>
        <w:t>–</w:t>
      </w:r>
      <w:hyperlink w:anchor="src_D04">
        <w:r>
          <w:rPr>
            <w:color w:val="185F7D"/>
          </w:rPr>
          <w:t>D04</w:t>
        </w:r>
      </w:hyperlink>
      <w:r>
        <w:rPr>
          <w:b w:val="0"/>
        </w:rPr>
        <w:t xml:space="preserve">; </w:t>
      </w:r>
      <w:hyperlink w:anchor="src_F04">
        <w:r>
          <w:rPr>
            <w:color w:val="185F7D"/>
          </w:rPr>
          <w:t>F04</w:t>
        </w:r>
      </w:hyperlink>
      <w:r>
        <w:rPr>
          <w:b w:val="0"/>
        </w:rPr>
        <w:t xml:space="preserve">; </w:t>
      </w:r>
      <w:hyperlink w:anchor="src_Q01_F001">
        <w:r>
          <w:rPr>
            <w:color w:val="185F7D"/>
          </w:rPr>
          <w:t>Q01-F001</w:t>
        </w:r>
      </w:hyperlink>
      <w:r>
        <w:rPr>
          <w:b w:val="0"/>
        </w:rPr>
        <w:t xml:space="preserve">; </w:t>
      </w:r>
      <w:hyperlink w:anchor="src_Q03_F127">
        <w:r>
          <w:rPr>
            <w:color w:val="185F7D"/>
          </w:rPr>
          <w:t>Q03-F127</w:t>
        </w:r>
      </w:hyperlink>
      <w:r>
        <w:rPr>
          <w:b w:val="0"/>
        </w:rPr>
        <w:t xml:space="preserve">; </w:t>
      </w:r>
      <w:hyperlink w:anchor="src_Q04_F014">
        <w:r>
          <w:rPr>
            <w:color w:val="185F7D"/>
          </w:rPr>
          <w:t>Q04-F014</w:t>
        </w:r>
      </w:hyperlink>
      <w:r>
        <w:rPr>
          <w:b w:val="0"/>
        </w:rPr>
        <w:t xml:space="preserve">; </w:t>
      </w:r>
      <w:hyperlink w:anchor="src_Q05">
        <w:r>
          <w:rPr>
            <w:color w:val="185F7D"/>
          </w:rPr>
          <w:t>Q05</w:t>
        </w:r>
      </w:hyperlink>
      <w:r>
        <w:rPr>
          <w:b w:val="0"/>
        </w:rPr>
        <w:t>]. ФИО, роли и деловые контакты взяты из опубликованных уведомлений и закупочных листов. Они актуальны на даты этих документов; занятость и полномочия на день обращения не подтверждались контактом.</w:t>
      </w:r>
    </w:p>
    <w:p>
      <w:r>
        <w:rPr>
          <w:b w:val="0"/>
        </w:rPr>
        <w:t xml:space="preserve">Контакты ООС ГЛ Инжиниринг и ДИЭМ полезны для восстановления доступа к ПД/ОВОС, но не заменяют технического владельца спецификации. «ТЕПЛОИЗОЛЯЦИЯ-1» — установленный участник </w:t>
      </w:r>
      <w:hyperlink w:anchor="src_Q01">
        <w:r>
          <w:rPr>
            <w:color w:val="185F7D"/>
          </w:rPr>
          <w:t>Q01</w:t>
        </w:r>
      </w:hyperlink>
      <w:r>
        <w:rPr>
          <w:b w:val="0"/>
        </w:rPr>
        <w:t xml:space="preserve"> и возможный партнер по смежной границе работ; это не доказанный конкурент КРУС по электрообогреву. ГазТехМонтаж — исторический смежный монтажный участник, текущая загрузка и договорные полномочия которого неизвестны. [</w:t>
      </w:r>
      <w:hyperlink w:anchor="src_C01">
        <w:r>
          <w:rPr>
            <w:color w:val="185F7D"/>
          </w:rPr>
          <w:t>C01</w:t>
        </w:r>
      </w:hyperlink>
      <w:r>
        <w:rPr>
          <w:b w:val="0"/>
        </w:rPr>
        <w:t xml:space="preserve">; </w:t>
      </w:r>
      <w:hyperlink w:anchor="src_P04h">
        <w:r>
          <w:rPr>
            <w:color w:val="185F7D"/>
          </w:rPr>
          <w:t>P04h</w:t>
        </w:r>
      </w:hyperlink>
      <w:r>
        <w:rPr>
          <w:b w:val="0"/>
        </w:rPr>
        <w:t xml:space="preserve">; </w:t>
      </w:r>
      <w:hyperlink w:anchor="src_P05h">
        <w:r>
          <w:rPr>
            <w:color w:val="185F7D"/>
          </w:rPr>
          <w:t>P05h</w:t>
        </w:r>
      </w:hyperlink>
      <w:r>
        <w:rPr>
          <w:b w:val="0"/>
        </w:rPr>
        <w:t>]</w:t>
      </w:r>
    </w:p>
    <w:p>
      <w:pPr>
        <w:pStyle w:val="Heading1"/>
      </w:pPr>
      <w:r>
        <w:t>8  Реестр решений по электрообогреву</w:t>
      </w:r>
    </w:p>
    <w:p>
      <w:r>
        <w:rPr>
          <w:b/>
        </w:rPr>
        <w:t>EO01. Проектные решения первой очереди — действовать сейчас на уровне квалификации.</w:t>
      </w:r>
      <w:r>
        <w:rPr>
          <w:b w:val="0"/>
        </w:rPr>
        <w:t xml:space="preserve"> Продавать можно расчет/ПИР, затем комплектную систему ЭО по выделенному узлу. Триггер — не масштаб завода, а появление утвержденной температурной задачи в проекте. Требуемый ответ: есть ли heat-tracing list, на какой стадии можно предложить решение и кто покупает комплект. При отсутствии ЭО в проекте эту возможность закрыть, а не переименовывать в теплоизоляцию.</w:t>
      </w:r>
    </w:p>
    <w:p>
      <w:r>
        <w:rPr>
          <w:b/>
        </w:rPr>
        <w:t>EO02. Сервис установленной базы — действовать сейчас для проверки существования спроса.</w:t>
      </w:r>
      <w:r>
        <w:rPr>
          <w:b w:val="0"/>
        </w:rPr>
        <w:t xml:space="preserve"> Входной продукт — согласованное обследование определенных цепей, если они существуют. Далее возможны ремонт/ЗИП/регулирование. Подтверждение: номер цепи, марка, акт отказа/диагностики, задача эксплуатации, владелец бюджета. Если системы исправны и есть достаточное обслуживание, нет основания объявлять замену приоритетом. Модернизация шкафов — часть этой же возможности, а не отдельная выручка поверх нее.</w:t>
      </w:r>
    </w:p>
    <w:p>
      <w:r>
        <w:rPr>
          <w:b/>
        </w:rPr>
        <w:t>EO03. САКВ — развивать контакт.</w:t>
      </w:r>
      <w:r>
        <w:rPr>
          <w:b w:val="0"/>
        </w:rPr>
        <w:t xml:space="preserve"> Получить архитектуру и техническое задание пробоотбора. При экстрактивной схеме с заданием поддерживать температуру проверить комплект греющей линии/шкафа и границы интегратора. При in-situ схеме без такого требования закрыть гипотезу. Не присваивать КРУС бюджет всего аналитического комплекса или ПИР.</w:t>
      </w:r>
    </w:p>
    <w:p>
      <w:r>
        <w:rPr>
          <w:b/>
        </w:rPr>
        <w:t>EO04. Серные/импульсные узлы — развивать контакт.</w:t>
      </w:r>
      <w:r>
        <w:rPr>
          <w:b w:val="0"/>
        </w:rPr>
        <w:t xml:space="preserve"> Использовать подтвержденный аналог КРУС в Салавате для разговора с технологом и КИП. Начать с одного узла 2У-350 или новой проектной линии. Сопоставить электрический, паровой и водяной способы, режим пропарки и допустимую температуру. Даже если электрическое решение технически возможно, коммерческое предложение нужно только при задаче и согласии заказчика на его проработку.</w:t>
      </w:r>
    </w:p>
    <w:p>
      <w:r>
        <w:rPr>
          <w:b/>
        </w:rPr>
        <w:t>EO05. Восстановление ЭО при работах с теплоизоляцией — наблюдать, проверять через смежный канал.</w:t>
      </w:r>
      <w:r>
        <w:rPr>
          <w:b w:val="0"/>
        </w:rPr>
        <w:t xml:space="preserve"> Возможность существует только при наличии ЭО под изоляцией и отдельной ответственности за его восстановление. Она пересекается с EO02 и не должна учитываться второй раз. Закупка изоляции 2026 уже закрыта, свободный остаток неизвестен.</w:t>
      </w:r>
    </w:p>
    <w:p>
      <w:r>
        <w:rPr>
          <w:b w:val="0"/>
        </w:rPr>
        <w:t xml:space="preserve">TI01/TI02 сохранены в книге как дополнительные возможности теплоизоляции. EX01 исключает полный строительный объем серных ям из продаж ЭО. </w:t>
      </w:r>
      <w:r>
        <w:rPr>
          <w:b/>
        </w:rPr>
        <w:t>Подтвержденной активной закупки промышленного электрообогрева для ОГПЗ в изученном корпусе не найдено.</w:t>
      </w:r>
      <w:r>
        <w:rPr>
          <w:b w:val="0"/>
        </w:rPr>
        <w:t xml:space="preserve"> Это не оценка нулевого рынка: количественную оценку потенциального заказа выполнить нельзя, пока неизвестны линии, цепи, состав и закупочный маршрут.</w:t>
      </w:r>
    </w:p>
    <w:p>
      <w:pPr>
        <w:pStyle w:val="Heading1"/>
      </w:pPr>
      <w:r>
        <w:t>9  План на 30 60 90 дней</w:t>
      </w:r>
    </w:p>
    <w:p>
      <w:r>
        <w:rPr>
          <w:b w:val="0"/>
        </w:rPr>
        <w:t>Предлагаемый план КРУС; это не график заказчика. Отсчет — после решения коммерческого руководителя начать проработку. Внешние обращения в рамках исследования не отправлялись.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0"/>
        <w:gridCol w:w="3024"/>
        <w:gridCol w:w="2419"/>
        <w:gridCol w:w="3499"/>
      </w:tblGrid>
      <w:tr>
        <w:trPr>
          <w:cantSplit/>
          <w:tblHeader/>
        </w:trPr>
        <w:tc>
          <w:tcPr>
            <w:tcW w:type="dxa" w:w="950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E9ECEF"/>
          </w:tcPr>
          <w:p>
            <w:pPr>
              <w:spacing w:after="60" w:line="240" w:lineRule="auto"/>
            </w:pPr>
            <w:r>
              <w:rPr>
                <w:b/>
                <w:sz w:val="19"/>
              </w:rPr>
              <w:t>Период</w:t>
            </w:r>
          </w:p>
        </w:tc>
        <w:tc>
          <w:tcPr>
            <w:tcW w:type="dxa" w:w="3024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E9ECEF"/>
          </w:tcPr>
          <w:p>
            <w:pPr>
              <w:spacing w:after="60" w:line="240" w:lineRule="auto"/>
            </w:pPr>
            <w:r>
              <w:rPr>
                <w:b/>
                <w:sz w:val="19"/>
              </w:rPr>
              <w:t>Действие и адресат</w:t>
            </w:r>
          </w:p>
        </w:tc>
        <w:tc>
          <w:tcPr>
            <w:tcW w:type="dxa" w:w="2419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E9ECEF"/>
          </w:tcPr>
          <w:p>
            <w:pPr>
              <w:spacing w:after="60" w:line="240" w:lineRule="auto"/>
            </w:pPr>
            <w:r>
              <w:rPr>
                <w:b/>
                <w:sz w:val="19"/>
              </w:rPr>
              <w:t>Материал КРУС</w:t>
            </w:r>
          </w:p>
        </w:tc>
        <w:tc>
          <w:tcPr>
            <w:tcW w:type="dxa" w:w="3499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E9ECEF"/>
          </w:tcPr>
          <w:p>
            <w:pPr>
              <w:spacing w:after="60" w:line="240" w:lineRule="auto"/>
            </w:pPr>
            <w:r>
              <w:rPr>
                <w:b/>
                <w:sz w:val="19"/>
              </w:rPr>
              <w:t>Ожидаемый результат и условие продолжения</w:t>
            </w:r>
          </w:p>
        </w:tc>
      </w:tr>
      <w:tr>
        <w:trPr>
          <w:cantSplit/>
        </w:trPr>
        <w:tc>
          <w:tcPr>
            <w:tcW w:type="dxa" w:w="950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FFFFFF"/>
          </w:tcPr>
          <w:p>
            <w:pPr>
              <w:spacing w:after="60" w:line="240" w:lineRule="auto"/>
            </w:pPr>
            <w:r>
              <w:rPr>
                <w:b w:val="0"/>
                <w:sz w:val="19"/>
              </w:rPr>
              <w:t>0–10 дней</w:t>
            </w:r>
          </w:p>
        </w:tc>
        <w:tc>
          <w:tcPr>
            <w:tcW w:type="dxa" w:w="3024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FFFFFF"/>
          </w:tcPr>
          <w:p>
            <w:pPr>
              <w:spacing w:after="60" w:line="240" w:lineRule="auto"/>
            </w:pPr>
            <w:r>
              <w:rPr>
                <w:b w:val="0"/>
                <w:sz w:val="19"/>
              </w:rPr>
              <w:t>Внутри КРУС проверить прежние отношения с ОГПЗ/ГЛ/ГСП и действительные допуски</w:t>
            </w:r>
          </w:p>
        </w:tc>
        <w:tc>
          <w:tcPr>
            <w:tcW w:type="dxa" w:w="2419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FFFFFF"/>
          </w:tcPr>
          <w:p>
            <w:pPr>
              <w:spacing w:after="60" w:line="240" w:lineRule="auto"/>
            </w:pPr>
            <w:r>
              <w:rPr>
                <w:b w:val="0"/>
                <w:sz w:val="19"/>
              </w:rPr>
              <w:t>Реестр собственных договоров; разрешенные к раскрытию референсы; сертификаты по выбранному изделию</w:t>
            </w:r>
          </w:p>
        </w:tc>
        <w:tc>
          <w:tcPr>
            <w:tcW w:type="dxa" w:w="3499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FFFFFF"/>
          </w:tcPr>
          <w:p>
            <w:pPr>
              <w:spacing w:after="60" w:line="240" w:lineRule="auto"/>
            </w:pPr>
            <w:r>
              <w:rPr>
                <w:b w:val="0"/>
                <w:sz w:val="19"/>
              </w:rPr>
              <w:t>Назначен владелец аккаунта; исключен дублирующий контакт; подтверждена способность выполнить предлагаемый объем</w:t>
            </w:r>
          </w:p>
        </w:tc>
      </w:tr>
      <w:tr>
        <w:trPr>
          <w:cantSplit/>
        </w:trPr>
        <w:tc>
          <w:tcPr>
            <w:tcW w:type="dxa" w:w="950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F7F8F9"/>
          </w:tcPr>
          <w:p>
            <w:pPr>
              <w:spacing w:after="60" w:line="240" w:lineRule="auto"/>
            </w:pPr>
            <w:r>
              <w:rPr>
                <w:b w:val="0"/>
                <w:sz w:val="19"/>
              </w:rPr>
              <w:t>0–15 дней</w:t>
            </w:r>
          </w:p>
        </w:tc>
        <w:tc>
          <w:tcPr>
            <w:tcW w:type="dxa" w:w="3024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F7F8F9"/>
          </w:tcPr>
          <w:p>
            <w:pPr>
              <w:spacing w:after="60" w:line="240" w:lineRule="auto"/>
            </w:pPr>
            <w:r>
              <w:rPr>
                <w:b w:val="0"/>
                <w:sz w:val="19"/>
              </w:rPr>
              <w:t>ГИП ГЛ Инжиниринг: техническая встреча по одному потенциальному ЭО-узлу PR01</w:t>
            </w:r>
          </w:p>
        </w:tc>
        <w:tc>
          <w:tcPr>
            <w:tcW w:type="dxa" w:w="2419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F7F8F9"/>
          </w:tcPr>
          <w:p>
            <w:pPr>
              <w:spacing w:after="60" w:line="240" w:lineRule="auto"/>
            </w:pPr>
            <w:r>
              <w:rPr>
                <w:b w:val="0"/>
                <w:sz w:val="19"/>
              </w:rPr>
              <w:t>Двухстраничная записка по ЭО и референс Салават 2025; перечень исходных данных</w:t>
            </w:r>
          </w:p>
        </w:tc>
        <w:tc>
          <w:tcPr>
            <w:tcW w:type="dxa" w:w="3499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F7F8F9"/>
          </w:tcPr>
          <w:p>
            <w:pPr>
              <w:spacing w:after="60" w:line="240" w:lineRule="auto"/>
            </w:pPr>
            <w:r>
              <w:rPr>
                <w:b w:val="0"/>
                <w:sz w:val="19"/>
              </w:rPr>
              <w:t>Профильная проектная группа, наличие/отсутствие ЭО-пакета, стадия выбора решения</w:t>
            </w:r>
          </w:p>
        </w:tc>
      </w:tr>
      <w:tr>
        <w:trPr>
          <w:cantSplit/>
        </w:trPr>
        <w:tc>
          <w:tcPr>
            <w:tcW w:type="dxa" w:w="950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FFFFFF"/>
          </w:tcPr>
          <w:p>
            <w:pPr>
              <w:spacing w:after="60" w:line="240" w:lineRule="auto"/>
            </w:pPr>
            <w:r>
              <w:rPr>
                <w:b w:val="0"/>
                <w:sz w:val="19"/>
              </w:rPr>
              <w:t>0–20 дней</w:t>
            </w:r>
          </w:p>
        </w:tc>
        <w:tc>
          <w:tcPr>
            <w:tcW w:type="dxa" w:w="3024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FFFFFF"/>
          </w:tcPr>
          <w:p>
            <w:pPr>
              <w:spacing w:after="60" w:line="240" w:lineRule="auto"/>
            </w:pPr>
            <w:r>
              <w:rPr>
                <w:b w:val="0"/>
                <w:sz w:val="19"/>
              </w:rPr>
              <w:t>ОГПЗ: определить владельца действующих систем и подрядчика ТО</w:t>
            </w:r>
          </w:p>
        </w:tc>
        <w:tc>
          <w:tcPr>
            <w:tcW w:type="dxa" w:w="2419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FFFFFF"/>
          </w:tcPr>
          <w:p>
            <w:pPr>
              <w:spacing w:after="60" w:line="240" w:lineRule="auto"/>
            </w:pPr>
            <w:r>
              <w:rPr>
                <w:b w:val="0"/>
                <w:sz w:val="19"/>
              </w:rPr>
              <w:t>Короткая форма инвентаризации одной цепи; программа обследования без обещаний дефектов</w:t>
            </w:r>
          </w:p>
        </w:tc>
        <w:tc>
          <w:tcPr>
            <w:tcW w:type="dxa" w:w="3499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FFFFFF"/>
          </w:tcPr>
          <w:p>
            <w:pPr>
              <w:spacing w:after="60" w:line="240" w:lineRule="auto"/>
            </w:pPr>
            <w:r>
              <w:rPr>
                <w:b w:val="0"/>
                <w:sz w:val="19"/>
              </w:rPr>
              <w:t>Паспорт/схема и фактическая задача хотя бы одного участка; либо отрицательный ответ</w:t>
            </w:r>
          </w:p>
        </w:tc>
      </w:tr>
      <w:tr>
        <w:trPr>
          <w:cantSplit/>
        </w:trPr>
        <w:tc>
          <w:tcPr>
            <w:tcW w:type="dxa" w:w="950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F7F8F9"/>
          </w:tcPr>
          <w:p>
            <w:pPr>
              <w:spacing w:after="60" w:line="240" w:lineRule="auto"/>
            </w:pPr>
            <w:r>
              <w:rPr>
                <w:b w:val="0"/>
                <w:sz w:val="19"/>
              </w:rPr>
              <w:t>10–30 дней</w:t>
            </w:r>
          </w:p>
        </w:tc>
        <w:tc>
          <w:tcPr>
            <w:tcW w:type="dxa" w:w="3024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F7F8F9"/>
          </w:tcPr>
          <w:p>
            <w:pPr>
              <w:spacing w:after="60" w:line="240" w:lineRule="auto"/>
            </w:pPr>
            <w:r>
              <w:rPr>
                <w:b w:val="0"/>
                <w:sz w:val="19"/>
              </w:rPr>
              <w:t>Газпром проектирование: выяснить исполнителя и схему САКВ</w:t>
            </w:r>
          </w:p>
        </w:tc>
        <w:tc>
          <w:tcPr>
            <w:tcW w:type="dxa" w:w="2419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F7F8F9"/>
          </w:tcPr>
          <w:p>
            <w:pPr>
              <w:spacing w:after="60" w:line="240" w:lineRule="auto"/>
            </w:pPr>
            <w:r>
              <w:rPr>
                <w:b w:val="0"/>
                <w:sz w:val="19"/>
              </w:rPr>
              <w:t>Опросный лист обогреваемой проболинии/шкафа</w:t>
            </w:r>
          </w:p>
        </w:tc>
        <w:tc>
          <w:tcPr>
            <w:tcW w:type="dxa" w:w="3499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F7F8F9"/>
          </w:tcPr>
          <w:p>
            <w:pPr>
              <w:spacing w:after="60" w:line="240" w:lineRule="auto"/>
            </w:pPr>
            <w:r>
              <w:rPr>
                <w:b w:val="0"/>
                <w:sz w:val="19"/>
              </w:rPr>
              <w:t>Подтвержденная температурная задача и интегратор; иначе EO03 остается наблюдением</w:t>
            </w:r>
          </w:p>
        </w:tc>
      </w:tr>
      <w:tr>
        <w:trPr>
          <w:cantSplit/>
        </w:trPr>
        <w:tc>
          <w:tcPr>
            <w:tcW w:type="dxa" w:w="950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FFFFFF"/>
          </w:tcPr>
          <w:p>
            <w:pPr>
              <w:spacing w:after="60" w:line="240" w:lineRule="auto"/>
            </w:pPr>
            <w:r>
              <w:rPr>
                <w:b w:val="0"/>
                <w:sz w:val="19"/>
              </w:rPr>
              <w:t>До 30 дней</w:t>
            </w:r>
          </w:p>
        </w:tc>
        <w:tc>
          <w:tcPr>
            <w:tcW w:type="dxa" w:w="3024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FFFFFF"/>
          </w:tcPr>
          <w:p>
            <w:pPr>
              <w:spacing w:after="60" w:line="240" w:lineRule="auto"/>
            </w:pPr>
            <w:r>
              <w:rPr>
                <w:b w:val="0"/>
                <w:sz w:val="19"/>
              </w:rPr>
              <w:t>Коммерческий руководитель: первый пересмотр</w:t>
            </w:r>
          </w:p>
        </w:tc>
        <w:tc>
          <w:tcPr>
            <w:tcW w:type="dxa" w:w="2419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FFFFFF"/>
          </w:tcPr>
          <w:p>
            <w:pPr>
              <w:spacing w:after="60" w:line="240" w:lineRule="auto"/>
            </w:pPr>
            <w:r>
              <w:rPr>
                <w:b w:val="0"/>
                <w:sz w:val="19"/>
              </w:rPr>
              <w:t>Ответы трех каналов, не число отправленных писем</w:t>
            </w:r>
          </w:p>
        </w:tc>
        <w:tc>
          <w:tcPr>
            <w:tcW w:type="dxa" w:w="3499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FFFFFF"/>
          </w:tcPr>
          <w:p>
            <w:pPr>
              <w:spacing w:after="60" w:line="240" w:lineRule="auto"/>
            </w:pPr>
            <w:r>
              <w:rPr>
                <w:b w:val="0"/>
                <w:sz w:val="19"/>
              </w:rPr>
              <w:t>Продолжать при адресной задаче/владельце/доступных данных. Если их нет — наблюдать без прогноза выручки</w:t>
            </w:r>
          </w:p>
        </w:tc>
      </w:tr>
      <w:tr>
        <w:trPr>
          <w:cantSplit/>
        </w:trPr>
        <w:tc>
          <w:tcPr>
            <w:tcW w:type="dxa" w:w="950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F7F8F9"/>
          </w:tcPr>
          <w:p>
            <w:pPr>
              <w:spacing w:after="60" w:line="240" w:lineRule="auto"/>
            </w:pPr>
            <w:r>
              <w:rPr>
                <w:b w:val="0"/>
                <w:sz w:val="19"/>
              </w:rPr>
              <w:t>31–60 дней</w:t>
            </w:r>
          </w:p>
        </w:tc>
        <w:tc>
          <w:tcPr>
            <w:tcW w:type="dxa" w:w="3024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F7F8F9"/>
          </w:tcPr>
          <w:p>
            <w:pPr>
              <w:spacing w:after="60" w:line="240" w:lineRule="auto"/>
            </w:pPr>
            <w:r>
              <w:rPr>
                <w:b w:val="0"/>
                <w:sz w:val="19"/>
              </w:rPr>
              <w:t>Совместно с владельцем участка и проектировщиком проработать один пакет</w:t>
            </w:r>
          </w:p>
        </w:tc>
        <w:tc>
          <w:tcPr>
            <w:tcW w:type="dxa" w:w="2419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F7F8F9"/>
          </w:tcPr>
          <w:p>
            <w:pPr>
              <w:spacing w:after="60" w:line="240" w:lineRule="auto"/>
            </w:pPr>
            <w:r>
              <w:rPr>
                <w:b w:val="0"/>
                <w:sz w:val="19"/>
              </w:rPr>
              <w:t>Расчет, спецификация, Ex-документация, границы питания/управления, вариант сервиса</w:t>
            </w:r>
          </w:p>
        </w:tc>
        <w:tc>
          <w:tcPr>
            <w:tcW w:type="dxa" w:w="3499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F7F8F9"/>
          </w:tcPr>
          <w:p>
            <w:pPr>
              <w:spacing w:after="60" w:line="240" w:lineRule="auto"/>
            </w:pPr>
            <w:r>
              <w:rPr>
                <w:b w:val="0"/>
                <w:sz w:val="19"/>
              </w:rPr>
              <w:t>Техническая приемлемость, согласованная ведомость и будущий покупатель; без этого не резервировать оборудование</w:t>
            </w:r>
          </w:p>
        </w:tc>
      </w:tr>
      <w:tr>
        <w:trPr>
          <w:cantSplit/>
        </w:trPr>
        <w:tc>
          <w:tcPr>
            <w:tcW w:type="dxa" w:w="950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FFFFFF"/>
          </w:tcPr>
          <w:p>
            <w:pPr>
              <w:spacing w:after="60" w:line="240" w:lineRule="auto"/>
            </w:pPr>
            <w:r>
              <w:rPr>
                <w:b w:val="0"/>
                <w:sz w:val="19"/>
              </w:rPr>
              <w:t>31–60 дней</w:t>
            </w:r>
          </w:p>
        </w:tc>
        <w:tc>
          <w:tcPr>
            <w:tcW w:type="dxa" w:w="3024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FFFFFF"/>
          </w:tcPr>
          <w:p>
            <w:pPr>
              <w:spacing w:after="60" w:line="240" w:lineRule="auto"/>
            </w:pPr>
            <w:r>
              <w:rPr>
                <w:b w:val="0"/>
                <w:sz w:val="19"/>
              </w:rPr>
              <w:t>Покупатель/комплектатор: квалификация и договорная экономика</w:t>
            </w:r>
          </w:p>
        </w:tc>
        <w:tc>
          <w:tcPr>
            <w:tcW w:type="dxa" w:w="2419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FFFFFF"/>
          </w:tcPr>
          <w:p>
            <w:pPr>
              <w:spacing w:after="60" w:line="240" w:lineRule="auto"/>
            </w:pPr>
            <w:r>
              <w:rPr>
                <w:b w:val="0"/>
                <w:sz w:val="19"/>
              </w:rPr>
              <w:t>Подтвержденные аналоги, кадровые/СРО документы по требуемому виду работ; калькуляция</w:t>
            </w:r>
          </w:p>
        </w:tc>
        <w:tc>
          <w:tcPr>
            <w:tcW w:type="dxa" w:w="3499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FFFFFF"/>
          </w:tcPr>
          <w:p>
            <w:pPr>
              <w:spacing w:after="60" w:line="240" w:lineRule="auto"/>
            </w:pPr>
            <w:r>
              <w:rPr>
                <w:b w:val="0"/>
                <w:sz w:val="19"/>
              </w:rPr>
              <w:t>Известны допуск, свободный объем, схема оплаты и приемлемая себестоимость. Теплоизоляцию считать отдельно</w:t>
            </w:r>
          </w:p>
        </w:tc>
      </w:tr>
      <w:tr>
        <w:trPr>
          <w:cantSplit/>
        </w:trPr>
        <w:tc>
          <w:tcPr>
            <w:tcW w:type="dxa" w:w="950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F7F8F9"/>
          </w:tcPr>
          <w:p>
            <w:pPr>
              <w:spacing w:after="60" w:line="240" w:lineRule="auto"/>
            </w:pPr>
            <w:r>
              <w:rPr>
                <w:b w:val="0"/>
                <w:sz w:val="19"/>
              </w:rPr>
              <w:t>61–90 дней</w:t>
            </w:r>
          </w:p>
        </w:tc>
        <w:tc>
          <w:tcPr>
            <w:tcW w:type="dxa" w:w="3024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F7F8F9"/>
          </w:tcPr>
          <w:p>
            <w:pPr>
              <w:spacing w:after="60" w:line="240" w:lineRule="auto"/>
            </w:pPr>
            <w:r>
              <w:rPr>
                <w:b w:val="0"/>
                <w:sz w:val="19"/>
              </w:rPr>
              <w:t>Подать адресное предложение либо оформить платное обследование после отдельного решения КРУС</w:t>
            </w:r>
          </w:p>
        </w:tc>
        <w:tc>
          <w:tcPr>
            <w:tcW w:type="dxa" w:w="2419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F7F8F9"/>
          </w:tcPr>
          <w:p>
            <w:pPr>
              <w:spacing w:after="60" w:line="240" w:lineRule="auto"/>
            </w:pPr>
            <w:r>
              <w:rPr>
                <w:b w:val="0"/>
                <w:sz w:val="19"/>
              </w:rPr>
              <w:t>КП с проверенными объемами, исключениями и сроками; согласованный состав поставки</w:t>
            </w:r>
          </w:p>
        </w:tc>
        <w:tc>
          <w:tcPr>
            <w:tcW w:type="dxa" w:w="3499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F7F8F9"/>
          </w:tcPr>
          <w:p>
            <w:pPr>
              <w:spacing w:after="60" w:line="240" w:lineRule="auto"/>
            </w:pPr>
            <w:r>
              <w:rPr>
                <w:b w:val="0"/>
                <w:sz w:val="19"/>
              </w:rPr>
              <w:t>Зарегистрированное предложение с конкретным следующим событием; не «сделка» по одному контакту</w:t>
            </w:r>
          </w:p>
        </w:tc>
      </w:tr>
      <w:tr>
        <w:trPr>
          <w:cantSplit/>
        </w:trPr>
        <w:tc>
          <w:tcPr>
            <w:tcW w:type="dxa" w:w="950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FFFFFF"/>
          </w:tcPr>
          <w:p>
            <w:pPr>
              <w:spacing w:after="60" w:line="240" w:lineRule="auto"/>
            </w:pPr>
            <w:r>
              <w:rPr>
                <w:b w:val="0"/>
                <w:sz w:val="19"/>
              </w:rPr>
              <w:t>61–90 дней</w:t>
            </w:r>
          </w:p>
        </w:tc>
        <w:tc>
          <w:tcPr>
            <w:tcW w:type="dxa" w:w="3024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FFFFFF"/>
          </w:tcPr>
          <w:p>
            <w:pPr>
              <w:spacing w:after="60" w:line="240" w:lineRule="auto"/>
            </w:pPr>
            <w:r>
              <w:rPr>
                <w:b w:val="0"/>
                <w:sz w:val="19"/>
              </w:rPr>
              <w:t>Повторный пересмотр аккаунта</w:t>
            </w:r>
          </w:p>
        </w:tc>
        <w:tc>
          <w:tcPr>
            <w:tcW w:type="dxa" w:w="2419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FFFFFF"/>
          </w:tcPr>
          <w:p>
            <w:pPr>
              <w:spacing w:after="60" w:line="240" w:lineRule="auto"/>
            </w:pPr>
            <w:r>
              <w:rPr>
                <w:b w:val="0"/>
                <w:sz w:val="19"/>
              </w:rPr>
              <w:t>Итоги технических решений и закупочный календарь</w:t>
            </w:r>
          </w:p>
        </w:tc>
        <w:tc>
          <w:tcPr>
            <w:tcW w:type="dxa" w:w="3499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FFFFFF"/>
          </w:tcPr>
          <w:p>
            <w:pPr>
              <w:spacing w:after="60" w:line="240" w:lineRule="auto"/>
            </w:pPr>
            <w:r>
              <w:rPr>
                <w:b w:val="0"/>
                <w:sz w:val="19"/>
              </w:rPr>
              <w:t>Развивать подтвержденный пакет; остальное оставить гипотезами или закрыть</w:t>
            </w:r>
          </w:p>
        </w:tc>
      </w:tr>
    </w:tbl>
    <w:p>
      <w:pPr>
        <w:spacing w:after="20"/>
      </w:pPr>
    </w:p>
    <w:p>
      <w:r>
        <w:rPr>
          <w:b w:val="0"/>
        </w:rPr>
        <w:t>Практический предел первой фазы — получить основание для инженерной работы, а не бесплатно разрабатывать проект всего завода. Отсутствие ответа, перенос проекта, отсутствие ЭО в спецификации или полная комплектация действующим подрядчиком — причины снизить усилия. Изоляционный субподряд может быть принят отдельно по экономике, но не считается выполнением задачи развития электрообогрева.</w:t>
      </w:r>
    </w:p>
    <w:p>
      <w:pPr>
        <w:pStyle w:val="Heading1"/>
      </w:pPr>
      <w:r>
        <w:t>10  Вопросы для первой технической встречи</w:t>
      </w:r>
    </w:p>
    <w:p>
      <w:pPr>
        <w:ind w:left="288" w:hanging="288"/>
      </w:pPr>
      <w:r>
        <w:rPr>
          <w:b w:val="0"/>
        </w:rPr>
        <w:t>1. На каких установках ОГПЗ сейчас эксплуатируется электрический обогрев трубопроводов, приборных линий и шкафов? Кто ведет ведомость цепей и отвечает за эксплуатацию?</w:t>
      </w:r>
    </w:p>
    <w:p>
      <w:pPr>
        <w:ind w:left="288" w:hanging="288"/>
      </w:pPr>
      <w:r>
        <w:rPr>
          <w:b w:val="0"/>
        </w:rPr>
        <w:t>2. Какие марки кабеля, соединительных комплектов, датчиков и регуляторов установлены? Кто поставлял, монтировал и обслуживает их сейчас? Есть ли ограничения совместимости/гарантии?</w:t>
      </w:r>
    </w:p>
    <w:p>
      <w:pPr>
        <w:ind w:left="288" w:hanging="288"/>
      </w:pPr>
      <w:r>
        <w:rPr>
          <w:b w:val="0"/>
        </w:rPr>
        <w:t>3. Есть ли конкретные повторяющиеся отказы, отклонения температуры, повреждения после вскрытия изоляции или отсутствующий ЗИП? Какой документ это фиксирует?</w:t>
      </w:r>
    </w:p>
    <w:p>
      <w:pPr>
        <w:ind w:left="288" w:hanging="288"/>
      </w:pPr>
      <w:r>
        <w:rPr>
          <w:b w:val="0"/>
        </w:rPr>
        <w:t>4. Какие участки обогреваются паром или горячей водой? Есть ли утвержденная задача сменить способ, или требуется сохранить существующий?</w:t>
      </w:r>
    </w:p>
    <w:p>
      <w:pPr>
        <w:ind w:left="288" w:hanging="288"/>
      </w:pPr>
      <w:r>
        <w:rPr>
          <w:b w:val="0"/>
        </w:rPr>
        <w:t>5. По первой очереди: на какой стадии ТХ/ЭМ/АК и перечень обогреваемых линий? Какие разделы и узлы закреплены за субпроектировщиками и комплектными поставщиками?</w:t>
      </w:r>
    </w:p>
    <w:p>
      <w:pPr>
        <w:ind w:left="288" w:hanging="288"/>
      </w:pPr>
      <w:r>
        <w:rPr>
          <w:b w:val="0"/>
        </w:rPr>
        <w:t>6. Кто утверждает теплотехнический расчет, Ex-исполнение, спецификацию и аналог? Кто размещает заказ на каждый элемент комплекта?</w:t>
      </w:r>
    </w:p>
    <w:p>
      <w:pPr>
        <w:ind w:left="288" w:hanging="288"/>
      </w:pPr>
      <w:r>
        <w:rPr>
          <w:b w:val="0"/>
        </w:rPr>
        <w:t>7. Для САКВ: какой метод измерения и пробоподготовки выбран; требуется ли поддержание температуры пробы; включены ли линия и шкаф в комплект анализатора?</w:t>
      </w:r>
    </w:p>
    <w:p>
      <w:pPr>
        <w:ind w:left="288" w:hanging="288"/>
      </w:pPr>
      <w:r>
        <w:rPr>
          <w:b w:val="0"/>
        </w:rPr>
        <w:t>8. Какие фактические окна работ и ограничения доступа? Какая граница между снятием изоляции, электромонтажом, испытаниями и восстановлением покрытия?</w:t>
      </w:r>
    </w:p>
    <w:p>
      <w:pPr>
        <w:ind w:left="288" w:hanging="288"/>
      </w:pPr>
      <w:r>
        <w:rPr>
          <w:b w:val="0"/>
        </w:rPr>
        <w:t>9. Есть ли возможность выделить обследование/пилотный узел и отдельный профильный пакет? Каким результатом и документом заказчик примет работу?</w:t>
      </w:r>
    </w:p>
    <w:p>
      <w:pPr>
        <w:ind w:left="288" w:hanging="288"/>
      </w:pPr>
      <w:r>
        <w:rPr>
          <w:b w:val="0"/>
        </w:rPr>
        <w:t>10. Какие требования к поставщику применяются именно к этому пакету и когда предстоит выбор? Кто оплачивает и на каких условиях?</w:t>
      </w:r>
    </w:p>
    <w:p>
      <w:r>
        <w:rPr>
          <w:b w:val="0"/>
        </w:rPr>
        <w:t>Минимальные исходные данные: привязанный к установке line list и P&amp;ID; среда/фазовое состояние; требуемая температура поддержания; максимальная температура процесса и пропарки; диаметры/длины/арматура; размещение и действующая изоляция; классификация зоны и ограничения температуры поверхности; напряжение/мощность питания; существующие шкафы и интерфейсы; паспорта/исполнительные схемы/акты испытаний; границы поставки и работ. Для модернизации сначала нужны данные действующей системы. Приборы и линии разных предприятий нельзя объединять в одну ведомость.</w:t>
      </w:r>
    </w:p>
    <w:p>
      <w:pPr>
        <w:pStyle w:val="Heading1"/>
      </w:pPr>
      <w:r>
        <w:t>11  Проект первого обращения   не отправлен</w:t>
      </w:r>
    </w:p>
    <w:p>
      <w:r>
        <w:rPr>
          <w:b/>
        </w:rPr>
        <w:t>Адресат:</w:t>
      </w:r>
      <w:r>
        <w:rPr>
          <w:b w:val="0"/>
        </w:rPr>
        <w:t xml:space="preserve"> ГИП реконструкции первой очереди ОГПЗ Сергей Алексеевич Зорин, ГЛ Инжиниринг.</w:t>
      </w:r>
    </w:p>
    <w:p>
      <w:r>
        <w:rPr>
          <w:b/>
        </w:rPr>
        <w:t>Тема:</w:t>
      </w:r>
      <w:r>
        <w:rPr>
          <w:b w:val="0"/>
        </w:rPr>
        <w:t xml:space="preserve"> ОГПЗ, первая очередь — проработка решений промышленного электрообогрева</w:t>
      </w:r>
    </w:p>
    <w:p>
      <w:r>
        <w:rPr>
          <w:b w:val="0"/>
        </w:rPr>
        <w:t>Сергей Алексеевич, добрый день!</w:t>
      </w:r>
    </w:p>
    <w:p>
      <w:r>
        <w:rPr>
          <w:b w:val="0"/>
        </w:rPr>
        <w:t>ООО «Компания КРУС-Запад» выполняет проектирование, поставку и монтаж промышленного электрообогрева. В нашем референс-листе есть комплекс работ по электрообогреву импульсных линий производства технической серы Газпром нефтехим Салавата.</w:t>
      </w:r>
    </w:p>
    <w:p>
      <w:r>
        <w:rPr>
          <w:b w:val="0"/>
        </w:rPr>
        <w:t>В опубликованных материалах реконструкции первой очереди ОГПЗ Вы указаны главным инженером проекта. Хотели бы уточнить, предусмотрены ли в текущих проектных пакетах температурные задачи, для которых рассматривается электрический обогрев технологических или приборных линий. Если такое направление есть, просим подсказать профильную проектную группу и возможность короткой технической встречи. Готовы представить референсы и проработать один выделенный узел по согласованным исходным данным.</w:t>
      </w:r>
    </w:p>
    <w:p>
      <w:r>
        <w:rPr>
          <w:b w:val="0"/>
        </w:rPr>
        <w:t>Будем признательны за информацию о стадии спецификаций и границах комплектации таких систем.</w:t>
      </w:r>
    </w:p>
    <w:p>
      <w:r>
        <w:rPr>
          <w:b w:val="0"/>
        </w:rPr>
        <w:t>С уважением, [ФИО, должность, контакты КРУС-Запада].</w:t>
      </w:r>
    </w:p>
    <w:p>
      <w:r>
        <w:rPr>
          <w:b w:val="0"/>
        </w:rPr>
        <w:t>Перед отправкой КРУС необходимо подтвердить собственные действующие референсы и проверить, не ведется ли этот контакт уже другим сотрудником. В письме намеренно нет утверждения о неисправности оборудования ОГПЗ или необходимости заменить паровой обогрев.</w:t>
      </w:r>
    </w:p>
    <w:p>
      <w:pPr>
        <w:pStyle w:val="Heading1"/>
      </w:pPr>
      <w:r>
        <w:t>12  Противоречия  ограничения и как их закрыть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73"/>
        <w:gridCol w:w="3816"/>
        <w:gridCol w:w="4104"/>
      </w:tblGrid>
      <w:tr>
        <w:trPr>
          <w:cantSplit/>
          <w:tblHeader/>
        </w:trPr>
        <w:tc>
          <w:tcPr>
            <w:tcW w:type="dxa" w:w="1973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E9ECEF"/>
          </w:tcPr>
          <w:p>
            <w:pPr>
              <w:spacing w:after="60" w:line="240" w:lineRule="auto"/>
            </w:pPr>
            <w:r>
              <w:rPr>
                <w:b/>
                <w:sz w:val="19"/>
              </w:rPr>
              <w:t>Вопрос</w:t>
            </w:r>
          </w:p>
        </w:tc>
        <w:tc>
          <w:tcPr>
            <w:tcW w:type="dxa" w:w="3816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E9ECEF"/>
          </w:tcPr>
          <w:p>
            <w:pPr>
              <w:spacing w:after="60" w:line="240" w:lineRule="auto"/>
            </w:pPr>
            <w:r>
              <w:rPr>
                <w:b/>
                <w:sz w:val="19"/>
              </w:rPr>
              <w:t>Что проверено / результат</w:t>
            </w:r>
          </w:p>
        </w:tc>
        <w:tc>
          <w:tcPr>
            <w:tcW w:type="dxa" w:w="4104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E9ECEF"/>
          </w:tcPr>
          <w:p>
            <w:pPr>
              <w:spacing w:after="60" w:line="240" w:lineRule="auto"/>
            </w:pPr>
            <w:r>
              <w:rPr>
                <w:b/>
                <w:sz w:val="19"/>
              </w:rPr>
              <w:t>Какой документ или ответ нужен</w:t>
            </w:r>
          </w:p>
        </w:tc>
      </w:tr>
      <w:tr>
        <w:trPr>
          <w:cantSplit/>
        </w:trPr>
        <w:tc>
          <w:tcPr>
            <w:tcW w:type="dxa" w:w="1973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FFFFFF"/>
          </w:tcPr>
          <w:p>
            <w:pPr>
              <w:spacing w:after="60" w:line="240" w:lineRule="auto"/>
            </w:pPr>
            <w:r>
              <w:rPr>
                <w:b w:val="0"/>
                <w:sz w:val="19"/>
              </w:rPr>
              <w:t>Действующая база ЭО</w:t>
            </w:r>
          </w:p>
        </w:tc>
        <w:tc>
          <w:tcPr>
            <w:tcW w:type="dxa" w:w="3816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FFFFFF"/>
          </w:tcPr>
          <w:p>
            <w:pPr>
              <w:spacing w:after="60" w:line="240" w:lineRule="auto"/>
            </w:pPr>
            <w:r>
              <w:rPr>
                <w:b w:val="0"/>
                <w:sz w:val="19"/>
              </w:rPr>
              <w:t>Прочитанные ремонтные пакеты, каталоги поставщиков, референсы; конкретная система не идентифицирована</w:t>
            </w:r>
          </w:p>
        </w:tc>
        <w:tc>
          <w:tcPr>
            <w:tcW w:type="dxa" w:w="4104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FFFFFF"/>
          </w:tcPr>
          <w:p>
            <w:pPr>
              <w:spacing w:after="60" w:line="240" w:lineRule="auto"/>
            </w:pPr>
            <w:r>
              <w:rPr>
                <w:b w:val="0"/>
                <w:sz w:val="19"/>
              </w:rPr>
              <w:t>Паспорт/схема/перечень цепей от эксплуатации; привязка к ОГПЗ</w:t>
            </w:r>
          </w:p>
        </w:tc>
      </w:tr>
      <w:tr>
        <w:trPr>
          <w:cantSplit/>
        </w:trPr>
        <w:tc>
          <w:tcPr>
            <w:tcW w:type="dxa" w:w="1973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F7F8F9"/>
          </w:tcPr>
          <w:p>
            <w:pPr>
              <w:spacing w:after="60" w:line="240" w:lineRule="auto"/>
            </w:pPr>
            <w:r>
              <w:rPr>
                <w:b w:val="0"/>
                <w:sz w:val="19"/>
              </w:rPr>
              <w:t>Дефект/сервис ЭО</w:t>
            </w:r>
          </w:p>
        </w:tc>
        <w:tc>
          <w:tcPr>
            <w:tcW w:type="dxa" w:w="3816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F7F8F9"/>
          </w:tcPr>
          <w:p>
            <w:pPr>
              <w:spacing w:after="60" w:line="240" w:lineRule="auto"/>
            </w:pPr>
            <w:r>
              <w:rPr>
                <w:b w:val="0"/>
                <w:sz w:val="19"/>
              </w:rPr>
              <w:t>Прямого акта дефекта и договора ТО ЭО не найдено</w:t>
            </w:r>
          </w:p>
        </w:tc>
        <w:tc>
          <w:tcPr>
            <w:tcW w:type="dxa" w:w="4104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F7F8F9"/>
          </w:tcPr>
          <w:p>
            <w:pPr>
              <w:spacing w:after="60" w:line="240" w:lineRule="auto"/>
            </w:pPr>
            <w:r>
              <w:rPr>
                <w:b w:val="0"/>
                <w:sz w:val="19"/>
              </w:rPr>
              <w:t>Последний акт диагностики, журнал отказов, договор с перечнем оборудования</w:t>
            </w:r>
          </w:p>
        </w:tc>
      </w:tr>
      <w:tr>
        <w:trPr>
          <w:cantSplit/>
        </w:trPr>
        <w:tc>
          <w:tcPr>
            <w:tcW w:type="dxa" w:w="1973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FFFFFF"/>
          </w:tcPr>
          <w:p>
            <w:pPr>
              <w:spacing w:after="60" w:line="240" w:lineRule="auto"/>
            </w:pPr>
            <w:r>
              <w:rPr>
                <w:b w:val="0"/>
                <w:sz w:val="19"/>
              </w:rPr>
              <w:t>Новый проект ЭО</w:t>
            </w:r>
          </w:p>
        </w:tc>
        <w:tc>
          <w:tcPr>
            <w:tcW w:type="dxa" w:w="3816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FFFFFF"/>
          </w:tcPr>
          <w:p>
            <w:pPr>
              <w:spacing w:after="60" w:line="240" w:lineRule="auto"/>
            </w:pPr>
            <w:r>
              <w:rPr>
                <w:b w:val="0"/>
                <w:sz w:val="19"/>
              </w:rPr>
              <w:t>Роли и проектирование PR01 подтверждены; 12 вложений ДИЭМ возвращают HTML</w:t>
            </w:r>
          </w:p>
        </w:tc>
        <w:tc>
          <w:tcPr>
            <w:tcW w:type="dxa" w:w="4104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FFFFFF"/>
          </w:tcPr>
          <w:p>
            <w:pPr>
              <w:spacing w:after="60" w:line="240" w:lineRule="auto"/>
            </w:pPr>
            <w:r>
              <w:rPr>
                <w:b w:val="0"/>
                <w:sz w:val="19"/>
              </w:rPr>
              <w:t>Действующая разрешенная копия раздела ЭО/ТХ/ЭМ/АК и heat-tracing list</w:t>
            </w:r>
          </w:p>
        </w:tc>
      </w:tr>
      <w:tr>
        <w:trPr>
          <w:cantSplit/>
        </w:trPr>
        <w:tc>
          <w:tcPr>
            <w:tcW w:type="dxa" w:w="1973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F7F8F9"/>
          </w:tcPr>
          <w:p>
            <w:pPr>
              <w:spacing w:after="60" w:line="240" w:lineRule="auto"/>
            </w:pPr>
            <w:r>
              <w:rPr>
                <w:b w:val="0"/>
                <w:sz w:val="19"/>
              </w:rPr>
              <w:t>Исполнитель и архитектура САКВ</w:t>
            </w:r>
          </w:p>
        </w:tc>
        <w:tc>
          <w:tcPr>
            <w:tcW w:type="dxa" w:w="3816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F7F8F9"/>
          </w:tcPr>
          <w:p>
            <w:pPr>
              <w:spacing w:after="60" w:line="240" w:lineRule="auto"/>
            </w:pPr>
            <w:r>
              <w:rPr>
                <w:b w:val="0"/>
                <w:sz w:val="19"/>
              </w:rPr>
              <w:t>Объявление и наличие протокола найдены; файлы закрыты в доступной карточке</w:t>
            </w:r>
          </w:p>
        </w:tc>
        <w:tc>
          <w:tcPr>
            <w:tcW w:type="dxa" w:w="4104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F7F8F9"/>
          </w:tcPr>
          <w:p>
            <w:pPr>
              <w:spacing w:after="60" w:line="240" w:lineRule="auto"/>
            </w:pPr>
            <w:r>
              <w:rPr>
                <w:b w:val="0"/>
                <w:sz w:val="19"/>
              </w:rPr>
              <w:t>Протокол №72084 и ТЗ/опросные листы; контакт ГИПа/интегратора</w:t>
            </w:r>
          </w:p>
        </w:tc>
      </w:tr>
      <w:tr>
        <w:trPr>
          <w:cantSplit/>
        </w:trPr>
        <w:tc>
          <w:tcPr>
            <w:tcW w:type="dxa" w:w="1973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FFFFFF"/>
          </w:tcPr>
          <w:p>
            <w:pPr>
              <w:spacing w:after="60" w:line="240" w:lineRule="auto"/>
            </w:pPr>
            <w:r>
              <w:rPr>
                <w:b w:val="0"/>
                <w:sz w:val="19"/>
              </w:rPr>
              <w:t>2У-350: 1108/1180 м²</w:t>
            </w:r>
          </w:p>
        </w:tc>
        <w:tc>
          <w:tcPr>
            <w:tcW w:type="dxa" w:w="3816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FFFFFF"/>
          </w:tcPr>
          <w:p>
            <w:pPr>
              <w:spacing w:after="60" w:line="240" w:lineRule="auto"/>
            </w:pPr>
            <w:r>
              <w:rPr>
                <w:b w:val="0"/>
                <w:sz w:val="19"/>
              </w:rPr>
              <w:t>Различие приложения 1 и ВД сохранено</w:t>
            </w:r>
          </w:p>
        </w:tc>
        <w:tc>
          <w:tcPr>
            <w:tcW w:type="dxa" w:w="4104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FFFFFF"/>
          </w:tcPr>
          <w:p>
            <w:pPr>
              <w:spacing w:after="60" w:line="240" w:lineRule="auto"/>
            </w:pPr>
            <w:r>
              <w:rPr>
                <w:b w:val="0"/>
                <w:sz w:val="19"/>
              </w:rPr>
              <w:t>Последняя согласованная ведомость и разъяснение заказчика</w:t>
            </w:r>
          </w:p>
        </w:tc>
      </w:tr>
      <w:tr>
        <w:trPr>
          <w:cantSplit/>
        </w:trPr>
        <w:tc>
          <w:tcPr>
            <w:tcW w:type="dxa" w:w="1973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F7F8F9"/>
          </w:tcPr>
          <w:p>
            <w:pPr>
              <w:spacing w:after="60" w:line="240" w:lineRule="auto"/>
            </w:pPr>
            <w:r>
              <w:rPr>
                <w:b w:val="0"/>
                <w:sz w:val="19"/>
              </w:rPr>
              <w:t>ТВС 2027: диаметр/длина</w:t>
            </w:r>
          </w:p>
        </w:tc>
        <w:tc>
          <w:tcPr>
            <w:tcW w:type="dxa" w:w="3816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F7F8F9"/>
          </w:tcPr>
          <w:p>
            <w:pPr>
              <w:spacing w:after="60" w:line="240" w:lineRule="auto"/>
            </w:pPr>
            <w:r>
              <w:rPr>
                <w:b w:val="0"/>
                <w:sz w:val="19"/>
              </w:rPr>
              <w:t>Табличные строки монтажа и демонтажа не согласуются</w:t>
            </w:r>
          </w:p>
        </w:tc>
        <w:tc>
          <w:tcPr>
            <w:tcW w:type="dxa" w:w="4104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F7F8F9"/>
          </w:tcPr>
          <w:p>
            <w:pPr>
              <w:spacing w:after="60" w:line="240" w:lineRule="auto"/>
            </w:pPr>
            <w:r>
              <w:rPr>
                <w:b w:val="0"/>
                <w:sz w:val="19"/>
              </w:rPr>
              <w:t>Уточненная ВД 142000114348 и обмеры/чертежи</w:t>
            </w:r>
          </w:p>
        </w:tc>
      </w:tr>
      <w:tr>
        <w:trPr>
          <w:cantSplit/>
        </w:trPr>
        <w:tc>
          <w:tcPr>
            <w:tcW w:type="dxa" w:w="1973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FFFFFF"/>
          </w:tcPr>
          <w:p>
            <w:pPr>
              <w:spacing w:after="60" w:line="240" w:lineRule="auto"/>
            </w:pPr>
            <w:r>
              <w:rPr>
                <w:b w:val="0"/>
                <w:sz w:val="19"/>
              </w:rPr>
              <w:t>Посторонняя ВД АГПЗ</w:t>
            </w:r>
          </w:p>
        </w:tc>
        <w:tc>
          <w:tcPr>
            <w:tcW w:type="dxa" w:w="3816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FFFFFF"/>
          </w:tcPr>
          <w:p>
            <w:pPr>
              <w:spacing w:after="60" w:line="240" w:lineRule="auto"/>
            </w:pPr>
            <w:r>
              <w:rPr>
                <w:b w:val="0"/>
                <w:sz w:val="19"/>
              </w:rPr>
              <w:t>Визуально подтвержден другой завод; объем исключен</w:t>
            </w:r>
          </w:p>
        </w:tc>
        <w:tc>
          <w:tcPr>
            <w:tcW w:type="dxa" w:w="4104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FFFFFF"/>
          </w:tcPr>
          <w:p>
            <w:pPr>
              <w:spacing w:after="60" w:line="240" w:lineRule="auto"/>
            </w:pPr>
            <w:r>
              <w:rPr>
                <w:b w:val="0"/>
                <w:sz w:val="19"/>
              </w:rPr>
              <w:t xml:space="preserve">Подтвержденный состав </w:t>
            </w:r>
            <w:hyperlink w:anchor="src_Q04">
              <w:r>
                <w:rPr>
                  <w:color w:val="185F7D"/>
                </w:rPr>
                <w:t>Q04</w:t>
              </w:r>
            </w:hyperlink>
            <w:r>
              <w:rPr>
                <w:b w:val="0"/>
                <w:sz w:val="19"/>
              </w:rPr>
              <w:t xml:space="preserve"> без чужого документа</w:t>
            </w:r>
          </w:p>
        </w:tc>
      </w:tr>
      <w:tr>
        <w:trPr>
          <w:cantSplit/>
        </w:trPr>
        <w:tc>
          <w:tcPr>
            <w:tcW w:type="dxa" w:w="1973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F7F8F9"/>
          </w:tcPr>
          <w:p>
            <w:pPr>
              <w:spacing w:after="60" w:line="240" w:lineRule="auto"/>
            </w:pPr>
            <w:r>
              <w:rPr>
                <w:b w:val="0"/>
                <w:sz w:val="19"/>
              </w:rPr>
              <w:t>Серные ямы: НДС/перевыставление</w:t>
            </w:r>
          </w:p>
        </w:tc>
        <w:tc>
          <w:tcPr>
            <w:tcW w:type="dxa" w:w="3816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F7F8F9"/>
          </w:tcPr>
          <w:p>
            <w:pPr>
              <w:spacing w:after="60" w:line="240" w:lineRule="auto"/>
            </w:pPr>
            <w:r>
              <w:rPr>
                <w:b w:val="0"/>
                <w:sz w:val="19"/>
              </w:rPr>
              <w:t>Инфокарта 22%, шаблон КП 20%; ранний и поздний лоты не суммировались</w:t>
            </w:r>
          </w:p>
        </w:tc>
        <w:tc>
          <w:tcPr>
            <w:tcW w:type="dxa" w:w="4104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F7F8F9"/>
          </w:tcPr>
          <w:p>
            <w:pPr>
              <w:spacing w:after="60" w:line="240" w:lineRule="auto"/>
            </w:pPr>
            <w:r>
              <w:rPr>
                <w:b w:val="0"/>
                <w:sz w:val="19"/>
              </w:rPr>
              <w:t xml:space="preserve">Последняя редакция КП; разъяснение и связь </w:t>
            </w:r>
            <w:hyperlink w:anchor="src_Q09">
              <w:r>
                <w:rPr>
                  <w:color w:val="185F7D"/>
                </w:rPr>
                <w:t>Q09</w:t>
              </w:r>
            </w:hyperlink>
            <w:r>
              <w:rPr>
                <w:b w:val="0"/>
                <w:sz w:val="19"/>
              </w:rPr>
              <w:t>/</w:t>
            </w:r>
            <w:hyperlink w:anchor="src_Q02">
              <w:r>
                <w:rPr>
                  <w:color w:val="185F7D"/>
                </w:rPr>
                <w:t>Q02</w:t>
              </w:r>
            </w:hyperlink>
          </w:p>
        </w:tc>
      </w:tr>
      <w:tr>
        <w:trPr>
          <w:cantSplit/>
        </w:trPr>
        <w:tc>
          <w:tcPr>
            <w:tcW w:type="dxa" w:w="1973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FFFFFF"/>
          </w:tcPr>
          <w:p>
            <w:pPr>
              <w:spacing w:after="60" w:line="240" w:lineRule="auto"/>
            </w:pPr>
            <w:r>
              <w:rPr>
                <w:b w:val="0"/>
                <w:sz w:val="19"/>
              </w:rPr>
              <w:t>Победители/исполнение</w:t>
            </w:r>
          </w:p>
        </w:tc>
        <w:tc>
          <w:tcPr>
            <w:tcW w:type="dxa" w:w="3816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FFFFFF"/>
          </w:tcPr>
          <w:p>
            <w:pPr>
              <w:spacing w:after="60" w:line="240" w:lineRule="auto"/>
            </w:pPr>
            <w:hyperlink w:anchor="src_Q01">
              <w:r>
                <w:rPr>
                  <w:color w:val="185F7D"/>
                </w:rPr>
                <w:t>Q01</w:t>
              </w:r>
            </w:hyperlink>
            <w:r>
              <w:rPr>
                <w:b w:val="0"/>
                <w:sz w:val="19"/>
              </w:rPr>
              <w:t xml:space="preserve">: протокол лучшей заявки прочитан; </w:t>
            </w:r>
            <w:hyperlink w:anchor="src_Q02">
              <w:r>
                <w:rPr>
                  <w:color w:val="185F7D"/>
                </w:rPr>
                <w:t>Q02</w:t>
              </w:r>
            </w:hyperlink>
            <w:r>
              <w:rPr>
                <w:b w:val="0"/>
                <w:sz w:val="19"/>
              </w:rPr>
              <w:t>–</w:t>
            </w:r>
            <w:hyperlink w:anchor="src_Q04">
              <w:r>
                <w:rPr>
                  <w:color w:val="185F7D"/>
                </w:rPr>
                <w:t>Q04</w:t>
              </w:r>
            </w:hyperlink>
            <w:r>
              <w:rPr>
                <w:b w:val="0"/>
                <w:sz w:val="19"/>
              </w:rPr>
              <w:t xml:space="preserve"> итоги не установлены</w:t>
            </w:r>
          </w:p>
        </w:tc>
        <w:tc>
          <w:tcPr>
            <w:tcW w:type="dxa" w:w="4104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FFFFFF"/>
          </w:tcPr>
          <w:p>
            <w:pPr>
              <w:spacing w:after="60" w:line="240" w:lineRule="auto"/>
            </w:pPr>
            <w:r>
              <w:rPr>
                <w:b w:val="0"/>
                <w:sz w:val="19"/>
              </w:rPr>
              <w:t>Договор/итоговый протокол, фактический остаток, разделительная ведомость</w:t>
            </w:r>
          </w:p>
        </w:tc>
      </w:tr>
      <w:tr>
        <w:trPr>
          <w:cantSplit/>
        </w:trPr>
        <w:tc>
          <w:tcPr>
            <w:tcW w:type="dxa" w:w="1973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F7F8F9"/>
          </w:tcPr>
          <w:p>
            <w:pPr>
              <w:spacing w:after="60" w:line="240" w:lineRule="auto"/>
            </w:pPr>
            <w:r>
              <w:rPr>
                <w:b w:val="0"/>
                <w:sz w:val="19"/>
              </w:rPr>
              <w:t>Текущая загрузка и сроки CAPEX</w:t>
            </w:r>
          </w:p>
        </w:tc>
        <w:tc>
          <w:tcPr>
            <w:tcW w:type="dxa" w:w="3816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F7F8F9"/>
          </w:tcPr>
          <w:p>
            <w:pPr>
              <w:spacing w:after="60" w:line="240" w:lineRule="auto"/>
            </w:pPr>
            <w:r>
              <w:rPr>
                <w:b w:val="0"/>
                <w:sz w:val="19"/>
              </w:rPr>
              <w:t>Есть исторические мощности, отчет КМГ и проектные уведомления</w:t>
            </w:r>
          </w:p>
        </w:tc>
        <w:tc>
          <w:tcPr>
            <w:tcW w:type="dxa" w:w="4104"/>
            <w:vAlign w:val="top"/>
            <w:tcMar>
              <w:top w:w="80" w:type="dxa"/>
              <w:bottom w:w="80" w:type="dxa"/>
              <w:left w:w="80" w:type="dxa"/>
              <w:right w:w="80" w:type="dxa"/>
            </w:tcMar>
            <w:shd w:fill="F7F8F9"/>
          </w:tcPr>
          <w:p>
            <w:pPr>
              <w:spacing w:after="60" w:line="240" w:lineRule="auto"/>
            </w:pPr>
            <w:r>
              <w:rPr>
                <w:b w:val="0"/>
                <w:sz w:val="19"/>
              </w:rPr>
              <w:t>Актуальный паспорт мощности, эксплуатационные показатели, утвержденный график реализации</w:t>
            </w:r>
          </w:p>
        </w:tc>
      </w:tr>
    </w:tbl>
    <w:p>
      <w:pPr>
        <w:spacing w:after="20"/>
      </w:pPr>
    </w:p>
    <w:p>
      <w:r>
        <w:rPr>
          <w:b w:val="0"/>
        </w:rPr>
        <w:t>Частичный доступ к ЕИС/ЭТП и повторные ограничения сессии Бикотендера не остановили исследование: по четырем ремонтным процедурам получены первичные документы, включая итоговый протокол изоляции. Они читаются обычным извлечением текста/OCR; прежняя техническая ошибка обработки PDF не использована как основание отказаться от чтения. Но отсутствие доступа к части проектных материалов и результатов не позволяет объявить весь поиск исчерпывающим.</w:t>
      </w:r>
    </w:p>
    <w:p>
      <w:pPr>
        <w:pStyle w:val="Heading1"/>
      </w:pPr>
      <w:r>
        <w:t>Приложение А  Покрытие и происхождение доказательств</w:t>
      </w:r>
    </w:p>
    <w:p>
      <w:r>
        <w:rPr>
          <w:b w:val="0"/>
        </w:rPr>
        <w:t>Базовая ретроспектива — 2020–13.10.2026; детальные ремонтные пакеты относятся к 2026 и плану 2027. Более ранние материалы использованы для истории оборудования и участников. Выполнены поиски по названиям ОГПЗ/филиала/оператора, номерам закупок, установкам, реконструкции, электрообогреву/греющему кабелю/шкафам/КИП, а также поставщикам и проектировщикам. Проверялись официальный сайт оператора, ГЛ Инжиниринг, ДИЭМ, Росприроднадзор, КРУС, ПЕТОН, ПЕГАЗ, Бюро ПромПроект, ЧЭТА, ССТ, КазРосГаз/КМГ, закупочные площадки и агрегаторы.</w:t>
      </w:r>
    </w:p>
    <w:p>
      <w:r>
        <w:rPr>
          <w:b w:val="0"/>
        </w:rPr>
        <w:t>Бикотендер использован как источник обнаружения и законного получения копий первичных закупочных документов. Для прочитанных ТЗ/ВД/протокола отделено авторство документа от сайта получения. По BBGL успешных результатов не получено; его покрытие не заявляется. Не проводились обращения к заказчику и участникам; закрытая коммерческая история КРУС не передавалась во внешние сервисы.</w:t>
      </w:r>
    </w:p>
    <w:p>
      <w:r>
        <w:rPr>
          <w:b w:val="0"/>
        </w:rPr>
        <w:t>Сканированные документы распознаны локально; значимые титулы, таблицы, единицы и противоречия проверены по изображениям страниц. OCR не заменяет согласованную ведомость для составления сметы. Ряд второстепенных закупок оставлен на уровне карточки и прямо помечен как не прочитанный по вложениям. Обнаружение документа, скачивание и содержательное изучение в реестре различаются.</w:t>
      </w:r>
    </w:p>
    <w:p>
      <w:r>
        <w:rPr>
          <w:b w:val="0"/>
        </w:rPr>
        <w:t>Рабочая книга содержит шесть вкладок со связями по ID: возможности EO/TI/EX → объекты OB → проекты PR → закупки Q → участники A → источники. Вкладка «Источники» содержит URL, период фактов, страницу/раздел, статус чтения, отметку о локальном архиве и SHA-256. Ключевые оригиналы сохранены в локальном архиве; на сайте опубликованы аналитические результаты без приложений закупочных документов. Никакие суммы лотов не суммировались в рынок ЭО, а гипотезам не присвоены фиктивные бюджеты или вероятности победы.</w:t>
      </w:r>
    </w:p>
    <w:p>
      <w:pPr>
        <w:pStyle w:val="Heading1"/>
      </w:pPr>
      <w:r>
        <w:t>Приложение Б  Как пользоваться результатом</w:t>
      </w:r>
    </w:p>
    <w:p>
      <w:r>
        <w:rPr>
          <w:b w:val="0"/>
        </w:rPr>
        <w:t>Начните со строк EO01–EO04 вкладки «Возможности». Приоритет «Действовать сейчас» означает выполнить квалифицирующее действие, а не подавать заявку на несуществующий открытый тендер. Для каждого контакта и факта переходите к указанным ID источников. Не переносите гипотезу в коммерческий прогноз до получения предмета, владельца задачи и закупочного маршрута.</w:t>
      </w:r>
    </w:p>
    <w:p>
      <w:r>
        <w:rPr>
          <w:b w:val="0"/>
        </w:rPr>
        <w:t xml:space="preserve">Отчет и книга согласованы по главному выводу: </w:t>
      </w:r>
      <w:r>
        <w:rPr>
          <w:b/>
        </w:rPr>
        <w:t>ОГПЗ заслуживает адресной проработки по промышленному электрообогреву, но подтвержденного продаваемого EHT-пакета пока нет.</w:t>
      </w:r>
      <w:r>
        <w:rPr>
          <w:b w:val="0"/>
        </w:rPr>
        <w:t xml:space="preserve"> Исследование определяет, куда и с каким предметом входить, какие ложные возможности исключить и какой минимальный набор доказательств должен изменить это решение.</w:t>
      </w:r>
    </w:p>
    <w:p>
      <w:pPr>
        <w:pStyle w:val="Heading1"/>
        <w:pageBreakBefore/>
      </w:pPr>
      <w:r>
        <w:t>Приложение В Реестр источников</w:t>
      </w:r>
    </w:p>
    <w:p>
      <w:r>
        <w:t>ID в тексте ведут к записям ниже. Для закупочных вложений веб-ссылка ведёт на карточку получения. Оригиналы сохранены в локальном исследовательском архиве и не опубликованы на сайте. Полные SHA-256 и связи находятся во вкладке «Источники» рабочей книги.</w:t>
      </w:r>
    </w:p>
    <w:p>
      <w:pPr>
        <w:pStyle w:val="Heading3"/>
      </w:pPr>
      <w:bookmarkStart w:id="1" w:name="src_K01"/>
      <w:bookmarkEnd w:id="1"/>
      <w:r>
        <w:t>K01  КРУС-Запад: о компании</w:t>
      </w:r>
    </w:p>
    <w:p>
      <w:pPr>
        <w:keepNext/>
        <w:spacing w:after="60"/>
      </w:pPr>
      <w:r>
        <w:rPr>
          <w:sz w:val="18"/>
        </w:rPr>
        <w:t>КРУС-Запад. Период: Текущая страница; дата редакции не указана. Раздел: Номенклатура и услуги. Статус: Прочитано.</w:t>
      </w:r>
    </w:p>
    <w:p>
      <w:pPr>
        <w:keepNext/>
        <w:spacing w:after="60"/>
      </w:pPr>
      <w:r>
        <w:rPr>
          <w:sz w:val="19"/>
        </w:rPr>
        <w:t>Электрообогрев, Ex, электроснабжение 0,4/6/10 кВ, автоматизация; не подтверждение допуска на ОГПЗ.</w:t>
      </w:r>
    </w:p>
    <w:p>
      <w:pPr>
        <w:spacing w:after="160"/>
      </w:pPr>
      <w:hyperlink r:id="rId11">
        <w:r>
          <w:rPr>
            <w:color w:val="185F7D"/>
          </w:rPr>
          <w:t>Открыть источник</w:t>
        </w:r>
      </w:hyperlink>
    </w:p>
    <w:p>
      <w:pPr>
        <w:pStyle w:val="Heading3"/>
      </w:pPr>
      <w:bookmarkStart w:id="2" w:name="src_K02"/>
      <w:bookmarkEnd w:id="2"/>
      <w:r>
        <w:t>K02  Референс Газпромнефть-Оренбург</w:t>
      </w:r>
    </w:p>
    <w:p>
      <w:pPr>
        <w:keepNext/>
        <w:spacing w:after="60"/>
      </w:pPr>
      <w:r>
        <w:rPr>
          <w:sz w:val="18"/>
        </w:rPr>
        <w:t>КРУС-Запад. Период: 2016–2020. Раздел: Карточка проекта. Статус: Прочитано.</w:t>
      </w:r>
    </w:p>
    <w:p>
      <w:pPr>
        <w:keepNext/>
        <w:spacing w:after="60"/>
      </w:pPr>
      <w:r>
        <w:rPr>
          <w:sz w:val="19"/>
        </w:rPr>
        <w:t>Другой заказчик и актив; не референс ОГПЗ.</w:t>
      </w:r>
    </w:p>
    <w:p>
      <w:pPr>
        <w:spacing w:after="160"/>
      </w:pPr>
      <w:hyperlink r:id="rId13">
        <w:r>
          <w:rPr>
            <w:color w:val="185F7D"/>
          </w:rPr>
          <w:t>Открыть источник</w:t>
        </w:r>
      </w:hyperlink>
    </w:p>
    <w:p>
      <w:pPr>
        <w:pStyle w:val="Heading3"/>
      </w:pPr>
      <w:bookmarkStart w:id="3" w:name="src_K05"/>
      <w:bookmarkEnd w:id="3"/>
      <w:r>
        <w:t>K05  Актуальный доступный референс-лист, 57 страниц</w:t>
      </w:r>
    </w:p>
    <w:p>
      <w:pPr>
        <w:keepNext/>
        <w:spacing w:after="60"/>
      </w:pPr>
      <w:r>
        <w:rPr>
          <w:sz w:val="18"/>
        </w:rPr>
        <w:t>КРУС-Запад. Период: Работы разных лет, включая 2025. Раздел: с. 12; 14–15; 26–27. Статус: Прочитаны указанные разделы; ключевые PDF-страницы проверены визуально.</w:t>
      </w:r>
    </w:p>
    <w:p>
      <w:pPr>
        <w:keepNext/>
        <w:spacing w:after="60"/>
      </w:pPr>
      <w:r>
        <w:rPr>
          <w:sz w:val="19"/>
        </w:rPr>
        <w:t>Салават: электрообогрев импульсных линий технической серы, 2025; Орск: серопровод 2,5 км, 2017; прямой ОГПЗ не выявлен.</w:t>
      </w:r>
    </w:p>
    <w:p>
      <w:pPr>
        <w:spacing w:after="160"/>
      </w:pPr>
      <w:hyperlink r:id="rId15">
        <w:r>
          <w:rPr>
            <w:color w:val="185F7D"/>
          </w:rPr>
          <w:t>Открыть источник</w:t>
        </w:r>
      </w:hyperlink>
    </w:p>
    <w:p>
      <w:pPr>
        <w:pStyle w:val="Heading3"/>
      </w:pPr>
      <w:bookmarkStart w:id="4" w:name="src_K06"/>
      <w:bookmarkEnd w:id="4"/>
      <w:r>
        <w:t>K06  Монтаж, шефмонтаж, пусконаладка</w:t>
      </w:r>
    </w:p>
    <w:p>
      <w:pPr>
        <w:keepNext/>
        <w:spacing w:after="60"/>
      </w:pPr>
      <w:r>
        <w:rPr>
          <w:sz w:val="18"/>
        </w:rPr>
        <w:t>КРУС-Запад. Период: Дата редакции не указана. Раздел: Услуги. Статус: Прочитано.</w:t>
      </w:r>
    </w:p>
    <w:p>
      <w:pPr>
        <w:keepNext/>
        <w:spacing w:after="60"/>
      </w:pPr>
      <w:r>
        <w:rPr>
          <w:sz w:val="19"/>
        </w:rPr>
        <w:t>Монтаж теплоизоляции как дополнительная компетенция.</w:t>
      </w:r>
    </w:p>
    <w:p>
      <w:pPr>
        <w:spacing w:after="160"/>
      </w:pPr>
      <w:hyperlink r:id="rId17">
        <w:r>
          <w:rPr>
            <w:color w:val="185F7D"/>
          </w:rPr>
          <w:t>Открыть источник</w:t>
        </w:r>
      </w:hyperlink>
    </w:p>
    <w:p>
      <w:pPr>
        <w:pStyle w:val="Heading3"/>
      </w:pPr>
      <w:bookmarkStart w:id="5" w:name="src_K07"/>
      <w:bookmarkEnd w:id="5"/>
      <w:r>
        <w:t>K07  Технический аудит</w:t>
      </w:r>
    </w:p>
    <w:p>
      <w:pPr>
        <w:keepNext/>
        <w:spacing w:after="60"/>
      </w:pPr>
      <w:r>
        <w:rPr>
          <w:sz w:val="18"/>
        </w:rPr>
        <w:t>КРУС-Запад. Период: Дата редакции не указана. Раздел: Услуги. Статус: Прочитано.</w:t>
      </w:r>
    </w:p>
    <w:p>
      <w:pPr>
        <w:keepNext/>
        <w:spacing w:after="60"/>
      </w:pPr>
      <w:r>
        <w:rPr>
          <w:sz w:val="19"/>
        </w:rPr>
        <w:t>Обследование как возможный продукт при согласованном предмете.</w:t>
      </w:r>
    </w:p>
    <w:p>
      <w:pPr>
        <w:spacing w:after="160"/>
      </w:pPr>
      <w:hyperlink r:id="rId19">
        <w:r>
          <w:rPr>
            <w:color w:val="185F7D"/>
          </w:rPr>
          <w:t>Открыть источник</w:t>
        </w:r>
      </w:hyperlink>
    </w:p>
    <w:p>
      <w:pPr>
        <w:pStyle w:val="Heading3"/>
      </w:pPr>
      <w:bookmarkStart w:id="6" w:name="src_K08"/>
      <w:bookmarkEnd w:id="6"/>
      <w:r>
        <w:t>K08  Сертификаты системы менеджмента</w:t>
      </w:r>
    </w:p>
    <w:p>
      <w:pPr>
        <w:keepNext/>
        <w:spacing w:after="60"/>
      </w:pPr>
      <w:r>
        <w:rPr>
          <w:sz w:val="18"/>
        </w:rPr>
        <w:t>КРУС-Запад. Период: Проверка 13.10.2026. Раздел: Указатель документов. Статус: Прочитан указатель; сертификаты по отдельности не проверены.</w:t>
      </w:r>
    </w:p>
    <w:p>
      <w:pPr>
        <w:keepNext/>
        <w:spacing w:after="60"/>
      </w:pPr>
      <w:r>
        <w:rPr>
          <w:sz w:val="19"/>
        </w:rPr>
        <w:t>Наличие раздела; действительность каждого сертификата не проверена.</w:t>
      </w:r>
    </w:p>
    <w:p>
      <w:pPr>
        <w:spacing w:after="160"/>
      </w:pPr>
      <w:hyperlink r:id="rId21">
        <w:r>
          <w:rPr>
            <w:color w:val="185F7D"/>
          </w:rPr>
          <w:t>Открыть источник</w:t>
        </w:r>
      </w:hyperlink>
    </w:p>
    <w:p>
      <w:pPr>
        <w:pStyle w:val="Heading3"/>
      </w:pPr>
      <w:bookmarkStart w:id="7" w:name="src_P01"/>
      <w:bookmarkEnd w:id="7"/>
      <w:r>
        <w:t>P01  Проекты для Газпром переработки</w:t>
      </w:r>
    </w:p>
    <w:p>
      <w:pPr>
        <w:keepNext/>
        <w:spacing w:after="60"/>
      </w:pPr>
      <w:r>
        <w:rPr>
          <w:sz w:val="18"/>
        </w:rPr>
        <w:t>ГЛ Инжиниринг. Период: Страница с отметкой 2022; периоды «2021 — настоящее время». Раздел: Блок Оренбургский комплекс. Статус: Прочитано.</w:t>
      </w:r>
    </w:p>
    <w:p>
      <w:pPr>
        <w:keepNext/>
        <w:spacing w:after="60"/>
      </w:pPr>
      <w:r>
        <w:rPr>
          <w:sz w:val="19"/>
        </w:rPr>
        <w:t>Первая очередь, раздельная переработка 9 млрд м³, техперевооружение; стадия 2026 подтверждается отдельно ДИЭМ.</w:t>
      </w:r>
    </w:p>
    <w:p>
      <w:pPr>
        <w:spacing w:after="160"/>
      </w:pPr>
      <w:hyperlink r:id="rId23">
        <w:r>
          <w:rPr>
            <w:color w:val="185F7D"/>
          </w:rPr>
          <w:t>Открыть источник</w:t>
        </w:r>
      </w:hyperlink>
    </w:p>
    <w:p>
      <w:pPr>
        <w:pStyle w:val="Heading3"/>
      </w:pPr>
      <w:bookmarkStart w:id="8" w:name="src_P02"/>
      <w:bookmarkEnd w:id="8"/>
      <w:r>
        <w:t>P02  Оренбургский газохимический комплекс</w:t>
      </w:r>
    </w:p>
    <w:p>
      <w:pPr>
        <w:keepNext/>
        <w:spacing w:after="60"/>
      </w:pPr>
      <w:r>
        <w:rPr>
          <w:sz w:val="18"/>
        </w:rPr>
        <w:t>ГЛ Инжиниринг. Период: Историческая проектная структура; дата редакции не указана. Раздел: Газоперерабатывающий завод. Статус: Прочитано.</w:t>
      </w:r>
    </w:p>
    <w:p>
      <w:pPr>
        <w:keepNext/>
        <w:spacing w:after="60"/>
      </w:pPr>
      <w:r>
        <w:rPr>
          <w:sz w:val="19"/>
        </w:rPr>
        <w:t>Состав технологических переделов; исторические мощности, не фактическая загрузка 2026.</w:t>
      </w:r>
    </w:p>
    <w:p>
      <w:pPr>
        <w:spacing w:after="160"/>
      </w:pPr>
      <w:hyperlink r:id="rId25">
        <w:r>
          <w:rPr>
            <w:color w:val="185F7D"/>
          </w:rPr>
          <w:t>Открыть источник</w:t>
        </w:r>
      </w:hyperlink>
    </w:p>
    <w:p>
      <w:pPr>
        <w:pStyle w:val="Heading3"/>
      </w:pPr>
      <w:bookmarkStart w:id="9" w:name="src_P03"/>
      <w:bookmarkEnd w:id="9"/>
      <w:r>
        <w:t>P03  Контакты</w:t>
      </w:r>
    </w:p>
    <w:p>
      <w:pPr>
        <w:keepNext/>
        <w:spacing w:after="60"/>
      </w:pPr>
      <w:r>
        <w:rPr>
          <w:sz w:val="18"/>
        </w:rPr>
        <w:t>ГЛ Инжиниринг. Период: Проверка 13.10.2026. Раздел: Контакты. Статус: Прочитано.</w:t>
      </w:r>
    </w:p>
    <w:p>
      <w:pPr>
        <w:keepNext/>
        <w:spacing w:after="60"/>
      </w:pPr>
      <w:r>
        <w:rPr>
          <w:sz w:val="19"/>
        </w:rPr>
        <w:t>Общий корпоративный канал; персональный ГИП в D01–D04.</w:t>
      </w:r>
    </w:p>
    <w:p>
      <w:pPr>
        <w:spacing w:after="160"/>
      </w:pPr>
      <w:hyperlink r:id="rId27">
        <w:r>
          <w:rPr>
            <w:color w:val="185F7D"/>
          </w:rPr>
          <w:t>Открыть источник</w:t>
        </w:r>
      </w:hyperlink>
    </w:p>
    <w:p>
      <w:pPr>
        <w:pStyle w:val="Heading3"/>
      </w:pPr>
      <w:bookmarkStart w:id="10" w:name="src_P04h"/>
      <w:bookmarkEnd w:id="10"/>
      <w:r>
        <w:t>P04h  Работы на Оренбургском ГПЗ</w:t>
      </w:r>
    </w:p>
    <w:p>
      <w:pPr>
        <w:keepNext/>
        <w:spacing w:after="60"/>
      </w:pPr>
      <w:r>
        <w:rPr>
          <w:sz w:val="18"/>
        </w:rPr>
        <w:t>ГазТехМонтаж. Период: Недатированный референс. Раздел: Перечень объектов. Статус: Прочитано.</w:t>
      </w:r>
    </w:p>
    <w:p>
      <w:pPr>
        <w:keepNext/>
        <w:spacing w:after="60"/>
      </w:pPr>
      <w:r>
        <w:rPr>
          <w:sz w:val="19"/>
        </w:rPr>
        <w:t>Паропроводы, изоляция, КИП, низконапорный газ, серные объекты; не текущий контракт электрообогрева.</w:t>
      </w:r>
    </w:p>
    <w:p>
      <w:pPr>
        <w:spacing w:after="160"/>
      </w:pPr>
      <w:hyperlink r:id="rId29">
        <w:r>
          <w:rPr>
            <w:color w:val="185F7D"/>
          </w:rPr>
          <w:t>Открыть источник</w:t>
        </w:r>
      </w:hyperlink>
    </w:p>
    <w:p>
      <w:pPr>
        <w:pStyle w:val="Heading3"/>
      </w:pPr>
      <w:bookmarkStart w:id="11" w:name="src_P05h"/>
      <w:bookmarkEnd w:id="11"/>
      <w:r>
        <w:t>P05h  Контакты</w:t>
      </w:r>
    </w:p>
    <w:p>
      <w:pPr>
        <w:keepNext/>
        <w:spacing w:after="60"/>
      </w:pPr>
      <w:r>
        <w:rPr>
          <w:sz w:val="18"/>
        </w:rPr>
        <w:t>ГазТехМонтаж. Период: Проверка 13.10.2026. Раздел: Контакты. Статус: Прочитано.</w:t>
      </w:r>
    </w:p>
    <w:p>
      <w:pPr>
        <w:keepNext/>
        <w:spacing w:after="60"/>
      </w:pPr>
      <w:r>
        <w:rPr>
          <w:sz w:val="19"/>
        </w:rPr>
        <w:t>info@gtm.ooo; +7 (3532) 48-20-33.</w:t>
      </w:r>
    </w:p>
    <w:p>
      <w:pPr>
        <w:spacing w:after="160"/>
      </w:pPr>
      <w:hyperlink r:id="rId31">
        <w:r>
          <w:rPr>
            <w:color w:val="185F7D"/>
          </w:rPr>
          <w:t>Открыть источник</w:t>
        </w:r>
      </w:hyperlink>
    </w:p>
    <w:p>
      <w:pPr>
        <w:pStyle w:val="Heading3"/>
      </w:pPr>
      <w:bookmarkStart w:id="12" w:name="src_P06"/>
      <w:bookmarkEnd w:id="12"/>
      <w:r>
        <w:t>P06  Референс-лист</w:t>
      </w:r>
    </w:p>
    <w:p>
      <w:pPr>
        <w:keepNext/>
        <w:spacing w:after="60"/>
      </w:pPr>
      <w:r>
        <w:rPr>
          <w:sz w:val="18"/>
        </w:rPr>
        <w:t>ПЕГАЗ. Период: Разные годы; период конкретных работ уточнять. Раздел: Оренбургский комплекс. Статус: Прочитано.</w:t>
      </w:r>
    </w:p>
    <w:p>
      <w:pPr>
        <w:keepNext/>
        <w:spacing w:after="60"/>
      </w:pPr>
      <w:r>
        <w:rPr>
          <w:sz w:val="19"/>
        </w:rPr>
        <w:t>ОТР раздельной переработки; изыскания первой очереди.</w:t>
      </w:r>
    </w:p>
    <w:p>
      <w:pPr>
        <w:spacing w:after="160"/>
      </w:pPr>
      <w:hyperlink r:id="rId33">
        <w:r>
          <w:rPr>
            <w:color w:val="185F7D"/>
          </w:rPr>
          <w:t>Открыть источник</w:t>
        </w:r>
      </w:hyperlink>
    </w:p>
    <w:p>
      <w:pPr>
        <w:pStyle w:val="Heading3"/>
      </w:pPr>
      <w:bookmarkStart w:id="13" w:name="src_P07"/>
      <w:bookmarkEnd w:id="13"/>
      <w:r>
        <w:t>P07  Проекты и компетенции</w:t>
      </w:r>
    </w:p>
    <w:p>
      <w:pPr>
        <w:keepNext/>
        <w:spacing w:after="60"/>
      </w:pPr>
      <w:r>
        <w:rPr>
          <w:sz w:val="18"/>
        </w:rPr>
        <w:t>Бюро ПромПроект. Период: Недатированный референс. Раздел: Оренбургский ГПЗ. Статус: Прочитано.</w:t>
      </w:r>
    </w:p>
    <w:p>
      <w:pPr>
        <w:keepNext/>
        <w:spacing w:after="60"/>
      </w:pPr>
      <w:r>
        <w:rPr>
          <w:sz w:val="19"/>
        </w:rPr>
        <w:t>Научно-техническое сопровождение проектирования; не EPC-контракт.</w:t>
      </w:r>
    </w:p>
    <w:p>
      <w:pPr>
        <w:spacing w:after="160"/>
      </w:pPr>
      <w:hyperlink r:id="rId35">
        <w:r>
          <w:rPr>
            <w:color w:val="185F7D"/>
          </w:rPr>
          <w:t>Открыть источник</w:t>
        </w:r>
      </w:hyperlink>
    </w:p>
    <w:p>
      <w:pPr>
        <w:pStyle w:val="Heading3"/>
      </w:pPr>
      <w:bookmarkStart w:id="14" w:name="src_P08"/>
      <w:bookmarkEnd w:id="14"/>
      <w:r>
        <w:t>P08  Проект Оренбургского ГПЗ</w:t>
      </w:r>
    </w:p>
    <w:p>
      <w:pPr>
        <w:keepNext/>
        <w:spacing w:after="60"/>
      </w:pPr>
      <w:r>
        <w:rPr>
          <w:sz w:val="18"/>
        </w:rPr>
        <w:t>ПЕТОН. Период: Исторический референс. Раздел: Карточка проекта. Статус: Прочитано.</w:t>
      </w:r>
    </w:p>
    <w:p>
      <w:pPr>
        <w:keepNext/>
        <w:spacing w:after="60"/>
      </w:pPr>
      <w:r>
        <w:rPr>
          <w:sz w:val="19"/>
        </w:rPr>
        <w:t>Участие в проектных работах; актуальные полномочия не установлены.</w:t>
      </w:r>
    </w:p>
    <w:p>
      <w:pPr>
        <w:spacing w:after="160"/>
      </w:pPr>
      <w:hyperlink r:id="rId37">
        <w:r>
          <w:rPr>
            <w:color w:val="185F7D"/>
          </w:rPr>
          <w:t>Открыть источник</w:t>
        </w:r>
      </w:hyperlink>
    </w:p>
    <w:p>
      <w:pPr>
        <w:pStyle w:val="Heading3"/>
      </w:pPr>
      <w:bookmarkStart w:id="15" w:name="src_P09"/>
      <w:bookmarkEnd w:id="15"/>
      <w:r>
        <w:t>P09  Архив конкурсов</w:t>
      </w:r>
    </w:p>
    <w:p>
      <w:pPr>
        <w:keepNext/>
        <w:spacing w:after="60"/>
      </w:pPr>
      <w:r>
        <w:rPr>
          <w:sz w:val="18"/>
        </w:rPr>
        <w:t>ПЕТОН. Период: 2015–2016. Раздел: Архив закупок по ОГПЗ. Статус: Прочитано.</w:t>
      </w:r>
    </w:p>
    <w:p>
      <w:pPr>
        <w:keepNext/>
        <w:spacing w:after="60"/>
      </w:pPr>
      <w:r>
        <w:rPr>
          <w:sz w:val="19"/>
        </w:rPr>
        <w:t>Исторический контекст; победители и новые объемы не установлены.</w:t>
      </w:r>
    </w:p>
    <w:p>
      <w:pPr>
        <w:spacing w:after="160"/>
      </w:pPr>
      <w:hyperlink r:id="rId39">
        <w:r>
          <w:rPr>
            <w:color w:val="185F7D"/>
          </w:rPr>
          <w:t>Открыть источник</w:t>
        </w:r>
      </w:hyperlink>
    </w:p>
    <w:p>
      <w:pPr>
        <w:pStyle w:val="Heading3"/>
      </w:pPr>
      <w:bookmarkStart w:id="16" w:name="src_E01"/>
      <w:bookmarkEnd w:id="16"/>
      <w:r>
        <w:t>E01  Визит казахстанской делегации на ОГПЗ</w:t>
      </w:r>
    </w:p>
    <w:p>
      <w:pPr>
        <w:keepNext/>
        <w:spacing w:after="60"/>
      </w:pPr>
      <w:r>
        <w:rPr>
          <w:sz w:val="18"/>
        </w:rPr>
        <w:t>КазРосГаз. Период: Визит 02–03.09.2025. Раздел: Новость 05.09.2025. Статус: Прочитано.</w:t>
      </w:r>
    </w:p>
    <w:p>
      <w:pPr>
        <w:keepNext/>
        <w:spacing w:after="60"/>
      </w:pPr>
      <w:r>
        <w:rPr>
          <w:sz w:val="19"/>
        </w:rPr>
        <w:t>Обсуждение модернизации и долгосрочных отношений; не подписанный заказ.</w:t>
      </w:r>
    </w:p>
    <w:p>
      <w:pPr>
        <w:spacing w:after="160"/>
      </w:pPr>
      <w:hyperlink r:id="rId41">
        <w:r>
          <w:rPr>
            <w:color w:val="185F7D"/>
          </w:rPr>
          <w:t>Открыть источник</w:t>
        </w:r>
      </w:hyperlink>
    </w:p>
    <w:p>
      <w:pPr>
        <w:pStyle w:val="Heading3"/>
      </w:pPr>
      <w:bookmarkStart w:id="17" w:name="src_E02"/>
      <w:bookmarkEnd w:id="17"/>
      <w:r>
        <w:t>E02  Годовой отчет 2025: мегапроекты</w:t>
      </w:r>
    </w:p>
    <w:p>
      <w:pPr>
        <w:keepNext/>
        <w:spacing w:after="60"/>
      </w:pPr>
      <w:r>
        <w:rPr>
          <w:sz w:val="18"/>
        </w:rPr>
        <w:t>КазМунайГаз. Период: 2023–2025. Раздел: Карачаганак; таблица на долю КМГ. Статус: Прочитано.</w:t>
      </w:r>
    </w:p>
    <w:p>
      <w:pPr>
        <w:keepNext/>
        <w:spacing w:after="60"/>
      </w:pPr>
      <w:r>
        <w:rPr>
          <w:sz w:val="19"/>
        </w:rPr>
        <w:t>881/874/765 млн м³ сырого газа на ОГПЗ на долю КМГ; не вся загрузка завода.</w:t>
      </w:r>
    </w:p>
    <w:p>
      <w:pPr>
        <w:spacing w:after="160"/>
      </w:pPr>
      <w:hyperlink r:id="rId43">
        <w:r>
          <w:rPr>
            <w:color w:val="185F7D"/>
          </w:rPr>
          <w:t>Открыть источник</w:t>
        </w:r>
      </w:hyperlink>
    </w:p>
    <w:p>
      <w:pPr>
        <w:pStyle w:val="Heading3"/>
      </w:pPr>
      <w:bookmarkStart w:id="18" w:name="src_C01"/>
      <w:bookmarkEnd w:id="18"/>
      <w:r>
        <w:t>C01  Капремонт изоляции Оренбургского ГПЗ</w:t>
      </w:r>
    </w:p>
    <w:p>
      <w:pPr>
        <w:keepNext/>
        <w:spacing w:after="60"/>
      </w:pPr>
      <w:r>
        <w:rPr>
          <w:sz w:val="18"/>
        </w:rPr>
        <w:t>Теплоизоляция-1. Период: Дата не раскрыта; надпись «в процессе работы». Раздел: Портфолио. Статус: Прочитано.</w:t>
      </w:r>
    </w:p>
    <w:p>
      <w:pPr>
        <w:keepNext/>
        <w:spacing w:after="60"/>
      </w:pPr>
      <w:r>
        <w:rPr>
          <w:sz w:val="19"/>
        </w:rPr>
        <w:t>Заявленный опыт изоляции ОГПЗ; дата не доказывает выполнение в октябре 2026.</w:t>
      </w:r>
    </w:p>
    <w:p>
      <w:pPr>
        <w:spacing w:after="160"/>
      </w:pPr>
      <w:hyperlink r:id="rId45">
        <w:r>
          <w:rPr>
            <w:color w:val="185F7D"/>
          </w:rPr>
          <w:t>Открыть источник</w:t>
        </w:r>
      </w:hyperlink>
    </w:p>
    <w:p>
      <w:pPr>
        <w:pStyle w:val="Heading3"/>
      </w:pPr>
      <w:bookmarkStart w:id="19" w:name="src_H01"/>
      <w:bookmarkEnd w:id="19"/>
      <w:r>
        <w:t>H01  План закупок на март 2023</w:t>
      </w:r>
    </w:p>
    <w:p>
      <w:pPr>
        <w:keepNext/>
        <w:spacing w:after="60"/>
      </w:pPr>
      <w:r>
        <w:rPr>
          <w:sz w:val="18"/>
        </w:rPr>
        <w:t>Газстройпром. Период: 2023. Раздел: с. 13, позиции 3080–3081. Статус: Прочитана таблица на с. 13; текстовый слой.</w:t>
      </w:r>
    </w:p>
    <w:p>
      <w:pPr>
        <w:keepNext/>
        <w:spacing w:after="60"/>
      </w:pPr>
      <w:r>
        <w:rPr>
          <w:sz w:val="19"/>
        </w:rPr>
        <w:t>Ремонт/ТО электрооборудования ОГПЗ классифицированы как ЭХЗ; электрообогрев не установлен.</w:t>
      </w:r>
    </w:p>
    <w:p>
      <w:pPr>
        <w:spacing w:after="160"/>
      </w:pPr>
      <w:hyperlink r:id="rId47">
        <w:r>
          <w:rPr>
            <w:color w:val="185F7D"/>
          </w:rPr>
          <w:t>Открыть источник</w:t>
        </w:r>
      </w:hyperlink>
    </w:p>
    <w:p>
      <w:pPr>
        <w:pStyle w:val="Heading3"/>
      </w:pPr>
      <w:bookmarkStart w:id="20" w:name="src_H02"/>
      <w:bookmarkEnd w:id="20"/>
      <w:r>
        <w:t>H02  Проекты ССТ</w:t>
      </w:r>
    </w:p>
    <w:p>
      <w:pPr>
        <w:keepNext/>
        <w:spacing w:after="60"/>
      </w:pPr>
      <w:r>
        <w:rPr>
          <w:sz w:val="18"/>
        </w:rPr>
        <w:t>ГК ССТ. Период: Разные годы; Совхозное ПХГ — 2012. Раздел: Совхозное ПХГ. Статус: Прочитано.</w:t>
      </w:r>
    </w:p>
    <w:p>
      <w:pPr>
        <w:keepNext/>
        <w:spacing w:after="60"/>
      </w:pPr>
      <w:r>
        <w:rPr>
          <w:sz w:val="19"/>
        </w:rPr>
        <w:t>531 м греющего кабеля относятся к ПХГ, не к ОГПЗ; не установлен поставщик ОГПЗ.</w:t>
      </w:r>
    </w:p>
    <w:p>
      <w:pPr>
        <w:spacing w:after="160"/>
      </w:pPr>
      <w:hyperlink r:id="rId49">
        <w:r>
          <w:rPr>
            <w:color w:val="185F7D"/>
          </w:rPr>
          <w:t>Открыть источник</w:t>
        </w:r>
      </w:hyperlink>
    </w:p>
    <w:p>
      <w:pPr>
        <w:pStyle w:val="Heading3"/>
      </w:pPr>
      <w:bookmarkStart w:id="21" w:name="src_D01"/>
      <w:bookmarkEnd w:id="21"/>
      <w:r>
        <w:t>D01  Обсуждения реконструкции 1-й очереди: этапы 1.1–1.2, 2.1–2.8, 3, 15</w:t>
      </w:r>
    </w:p>
    <w:p>
      <w:pPr>
        <w:keepNext/>
        <w:spacing w:after="60"/>
      </w:pPr>
      <w:r>
        <w:rPr>
          <w:sz w:val="18"/>
        </w:rPr>
        <w:t>НПФ ДИЭМ. Период: Ознакомление 11.07–09.08.2026. Раздел: Заказчик, проектировщик, контакты, этапы. Статус: Прочитано.</w:t>
      </w:r>
    </w:p>
    <w:p>
      <w:pPr>
        <w:keepNext/>
        <w:spacing w:after="60"/>
      </w:pPr>
      <w:r>
        <w:rPr>
          <w:sz w:val="19"/>
        </w:rPr>
        <w:t>Подтверждено проектирование/ОВОС и роли; состав электрообогрева не раскрыт.</w:t>
      </w:r>
    </w:p>
    <w:p>
      <w:pPr>
        <w:spacing w:after="160"/>
      </w:pPr>
      <w:hyperlink r:id="rId51">
        <w:r>
          <w:rPr>
            <w:color w:val="185F7D"/>
          </w:rPr>
          <w:t>Открыть источник</w:t>
        </w:r>
      </w:hyperlink>
    </w:p>
    <w:p>
      <w:pPr>
        <w:pStyle w:val="Heading3"/>
      </w:pPr>
      <w:bookmarkStart w:id="22" w:name="src_D02"/>
      <w:bookmarkEnd w:id="22"/>
      <w:r>
        <w:t>D02  Обсуждения реконструкции 1-й очереди: этапы 4, 5.1–5.10, 6</w:t>
      </w:r>
    </w:p>
    <w:p>
      <w:pPr>
        <w:keepNext/>
        <w:spacing w:after="60"/>
      </w:pPr>
      <w:r>
        <w:rPr>
          <w:sz w:val="18"/>
        </w:rPr>
        <w:t>НПФ ДИЭМ. Период: Ознакомление 11.07–09.08.2026. Раздел: Заказчик, проектировщик, контакты, этапы. Статус: Прочитано.</w:t>
      </w:r>
    </w:p>
    <w:p>
      <w:pPr>
        <w:keepNext/>
        <w:spacing w:after="60"/>
      </w:pPr>
      <w:r>
        <w:rPr>
          <w:sz w:val="19"/>
        </w:rPr>
        <w:t>Подтверждено проектирование/ОВОС и роли; состав электрообогрева не раскрыт.</w:t>
      </w:r>
    </w:p>
    <w:p>
      <w:pPr>
        <w:spacing w:after="160"/>
      </w:pPr>
      <w:hyperlink r:id="rId53">
        <w:r>
          <w:rPr>
            <w:color w:val="185F7D"/>
          </w:rPr>
          <w:t>Открыть источник</w:t>
        </w:r>
      </w:hyperlink>
    </w:p>
    <w:p>
      <w:pPr>
        <w:pStyle w:val="Heading3"/>
      </w:pPr>
      <w:bookmarkStart w:id="23" w:name="src_D03"/>
      <w:bookmarkEnd w:id="23"/>
      <w:r>
        <w:t>D03  Обсуждения реконструкции 1-й очереди: этапы 7.1–7.3, 8, 9.1–9.2, 10, 11</w:t>
      </w:r>
    </w:p>
    <w:p>
      <w:pPr>
        <w:keepNext/>
        <w:spacing w:after="60"/>
      </w:pPr>
      <w:r>
        <w:rPr>
          <w:sz w:val="18"/>
        </w:rPr>
        <w:t>НПФ ДИЭМ. Период: Ознакомление 11.07–09.08.2026. Раздел: Заказчик, проектировщик, контакты, этапы. Статус: Прочитано.</w:t>
      </w:r>
    </w:p>
    <w:p>
      <w:pPr>
        <w:keepNext/>
        <w:spacing w:after="60"/>
      </w:pPr>
      <w:r>
        <w:rPr>
          <w:sz w:val="19"/>
        </w:rPr>
        <w:t>Подтверждено проектирование/ОВОС и роли; состав электрообогрева не раскрыт.</w:t>
      </w:r>
    </w:p>
    <w:p>
      <w:pPr>
        <w:spacing w:after="160"/>
      </w:pPr>
      <w:hyperlink r:id="rId55">
        <w:r>
          <w:rPr>
            <w:color w:val="185F7D"/>
          </w:rPr>
          <w:t>Открыть источник</w:t>
        </w:r>
      </w:hyperlink>
    </w:p>
    <w:p>
      <w:pPr>
        <w:pStyle w:val="Heading3"/>
      </w:pPr>
      <w:bookmarkStart w:id="24" w:name="src_D04"/>
      <w:bookmarkEnd w:id="24"/>
      <w:r>
        <w:t>D04  Обсуждения реконструкции 1-й очереди: этапы 12, 13, 14.1–14.2</w:t>
      </w:r>
    </w:p>
    <w:p>
      <w:pPr>
        <w:keepNext/>
        <w:spacing w:after="60"/>
      </w:pPr>
      <w:r>
        <w:rPr>
          <w:sz w:val="18"/>
        </w:rPr>
        <w:t>НПФ ДИЭМ. Период: Ознакомление 11.07–09.08.2026. Раздел: Заказчик, проектировщик, контакты, этапы. Статус: Прочитано.</w:t>
      </w:r>
    </w:p>
    <w:p>
      <w:pPr>
        <w:keepNext/>
        <w:spacing w:after="60"/>
      </w:pPr>
      <w:r>
        <w:rPr>
          <w:sz w:val="19"/>
        </w:rPr>
        <w:t>Подтверждено проектирование/ОВОС и роли; состав электрообогрева не раскрыт.</w:t>
      </w:r>
    </w:p>
    <w:p>
      <w:pPr>
        <w:spacing w:after="160"/>
      </w:pPr>
      <w:hyperlink r:id="rId57">
        <w:r>
          <w:rPr>
            <w:color w:val="185F7D"/>
          </w:rPr>
          <w:t>Открыть источник</w:t>
        </w:r>
      </w:hyperlink>
    </w:p>
    <w:p>
      <w:pPr>
        <w:pStyle w:val="Heading3"/>
      </w:pPr>
      <w:bookmarkStart w:id="25" w:name="src_D05"/>
      <w:bookmarkEnd w:id="25"/>
      <w:r>
        <w:t>D05  Обсуждения реконструкции первой очереди, этапы 7–11</w:t>
      </w:r>
    </w:p>
    <w:p>
      <w:pPr>
        <w:keepNext/>
        <w:spacing w:after="60"/>
      </w:pPr>
      <w:r>
        <w:rPr>
          <w:sz w:val="18"/>
        </w:rPr>
        <w:t>Росприроднадзор. Период: Обсуждения 28.11–28.12.2024. Раздел: Уведомление. Статус: Прочитано.</w:t>
      </w:r>
    </w:p>
    <w:p>
      <w:pPr>
        <w:keepNext/>
        <w:spacing w:after="60"/>
      </w:pPr>
      <w:r>
        <w:rPr>
          <w:sz w:val="19"/>
        </w:rPr>
        <w:t>Продолжение проектной программы до уведомлений 2026; не ввод объекта.</w:t>
      </w:r>
    </w:p>
    <w:p>
      <w:pPr>
        <w:spacing w:after="160"/>
      </w:pPr>
      <w:hyperlink r:id="rId59">
        <w:r>
          <w:rPr>
            <w:color w:val="185F7D"/>
          </w:rPr>
          <w:t>Открыть источник</w:t>
        </w:r>
      </w:hyperlink>
    </w:p>
    <w:p>
      <w:pPr>
        <w:pStyle w:val="Heading3"/>
      </w:pPr>
      <w:bookmarkStart w:id="26" w:name="src_D_ATT"/>
      <w:bookmarkEnd w:id="26"/>
      <w:r>
        <w:t>D-ATT  12 вложений ПД/ОВОС к D01–D04</w:t>
      </w:r>
    </w:p>
    <w:p>
      <w:pPr>
        <w:keepNext/>
        <w:spacing w:after="60"/>
      </w:pPr>
      <w:r>
        <w:rPr>
          <w:sz w:val="18"/>
        </w:rPr>
        <w:t>НПФ ДИЭМ. Период: Проверены 13.10.2026. Раздел: Все 12 адресов в receipt. Статус: Недоступно; проверены точные адреса.</w:t>
      </w:r>
    </w:p>
    <w:p>
      <w:pPr>
        <w:keepNext/>
        <w:spacing w:after="60"/>
      </w:pPr>
      <w:r>
        <w:rPr>
          <w:sz w:val="19"/>
        </w:rPr>
        <w:t>Все вернули HTML «Недопустимый файл»; содержимое ПД/ОВОС не прочитано.</w:t>
      </w:r>
    </w:p>
    <w:p>
      <w:pPr>
        <w:spacing w:after="160"/>
      </w:pPr>
      <w:hyperlink r:id="rId61">
        <w:r>
          <w:rPr>
            <w:color w:val="185F7D"/>
          </w:rPr>
          <w:t>Открыть источник</w:t>
        </w:r>
      </w:hyperlink>
    </w:p>
    <w:p>
      <w:pPr>
        <w:pStyle w:val="Heading3"/>
      </w:pPr>
      <w:bookmarkStart w:id="27" w:name="src_F04"/>
      <w:bookmarkEnd w:id="27"/>
      <w:r>
        <w:t>F04  ОГПЗ: официальный адрес и связь</w:t>
      </w:r>
    </w:p>
    <w:p>
      <w:pPr>
        <w:keepNext/>
        <w:spacing w:after="60"/>
      </w:pPr>
      <w:r>
        <w:rPr>
          <w:sz w:val="18"/>
        </w:rPr>
        <w:t>Газпром переработка. Период: Индекс официальной страницы; дата обновления неизвестна. Раздел: Контакты. Статус: Прочитан индекс официальной страницы; прямой запрос timeout.</w:t>
      </w:r>
    </w:p>
    <w:p>
      <w:pPr>
        <w:keepNext/>
        <w:spacing w:after="60"/>
      </w:pPr>
      <w:r>
        <w:rPr>
          <w:sz w:val="19"/>
        </w:rPr>
        <w:t>460512, Оренбург, п/о п. Каргала, 30-й км №1; +7 (3532) 73-52-01; ogpz@ogpz.gpp.gazprom.ru.</w:t>
      </w:r>
    </w:p>
    <w:p>
      <w:pPr>
        <w:spacing w:after="160"/>
      </w:pPr>
      <w:hyperlink r:id="rId63">
        <w:r>
          <w:rPr>
            <w:color w:val="185F7D"/>
          </w:rPr>
          <w:t>Открыть источник</w:t>
        </w:r>
      </w:hyperlink>
    </w:p>
    <w:p>
      <w:pPr>
        <w:pStyle w:val="Heading3"/>
      </w:pPr>
      <w:bookmarkStart w:id="28" w:name="src_F05"/>
      <w:bookmarkEnd w:id="28"/>
      <w:r>
        <w:t>F05  Переход ОГПЗ в Газпром переработку</w:t>
      </w:r>
    </w:p>
    <w:p>
      <w:pPr>
        <w:keepNext/>
        <w:spacing w:after="60"/>
      </w:pPr>
      <w:r>
        <w:rPr>
          <w:sz w:val="18"/>
        </w:rPr>
        <w:t>Газпром переработка. Период: 01.11.2018. Раздел: Интервью 2019. Статус: Прочитан текст официального источника через веб-поиск.</w:t>
      </w:r>
    </w:p>
    <w:p>
      <w:pPr>
        <w:keepNext/>
        <w:spacing w:after="60"/>
      </w:pPr>
      <w:r>
        <w:rPr>
          <w:sz w:val="19"/>
        </w:rPr>
        <w:t>ОГПЗ — филиал Газпром переработки, не Газпром добыча Оренбург.</w:t>
      </w:r>
    </w:p>
    <w:p>
      <w:pPr>
        <w:spacing w:after="160"/>
      </w:pPr>
      <w:hyperlink r:id="rId64">
        <w:r>
          <w:rPr>
            <w:color w:val="185F7D"/>
          </w:rPr>
          <w:t>Открыть источник</w:t>
        </w:r>
      </w:hyperlink>
    </w:p>
    <w:p>
      <w:pPr>
        <w:pStyle w:val="Heading3"/>
      </w:pPr>
      <w:bookmarkStart w:id="29" w:name="src_B01"/>
      <w:bookmarkEnd w:id="29"/>
      <w:r>
        <w:t>B01  Каталог ЧЭТА 2024</w:t>
      </w:r>
    </w:p>
    <w:p>
      <w:pPr>
        <w:keepNext/>
        <w:spacing w:after="60"/>
      </w:pPr>
      <w:r>
        <w:rPr>
          <w:sz w:val="18"/>
        </w:rPr>
        <w:t>ЧЭТА. Период: Каталог 2024. Раздел: PDF с. 20 / печатная 38–39. Статус: Текст и визуальная проверка таблицы.</w:t>
      </w:r>
    </w:p>
    <w:p>
      <w:pPr>
        <w:keepNext/>
        <w:spacing w:after="60"/>
      </w:pPr>
      <w:r>
        <w:rPr>
          <w:sz w:val="19"/>
        </w:rPr>
        <w:t>ОГПЗ цех 9 — ЩСН; шкафы электрообогрева в соседних строках относятся к другим объектам.</w:t>
      </w:r>
    </w:p>
    <w:p>
      <w:pPr>
        <w:spacing w:after="160"/>
      </w:pPr>
      <w:hyperlink r:id="rId65">
        <w:r>
          <w:rPr>
            <w:color w:val="185F7D"/>
          </w:rPr>
          <w:t>Открыть источник</w:t>
        </w:r>
      </w:hyperlink>
    </w:p>
    <w:p>
      <w:pPr>
        <w:pStyle w:val="Heading3"/>
      </w:pPr>
      <w:bookmarkStart w:id="30" w:name="src_B02"/>
      <w:bookmarkEnd w:id="30"/>
      <w:r>
        <w:t>B02  Презентация ПЕТОН</w:t>
      </w:r>
    </w:p>
    <w:p>
      <w:pPr>
        <w:keepNext/>
        <w:spacing w:after="60"/>
      </w:pPr>
      <w:r>
        <w:rPr>
          <w:sz w:val="18"/>
        </w:rPr>
        <w:t>ПЕТОН. Период: Историческая редакция. Раздел: PDF с. 45 / печатная 88–89. Статус: Текст и визуальная проверка.</w:t>
      </w:r>
    </w:p>
    <w:p>
      <w:pPr>
        <w:keepNext/>
        <w:spacing w:after="60"/>
      </w:pPr>
      <w:r>
        <w:rPr>
          <w:sz w:val="19"/>
        </w:rPr>
        <w:t>Реконструкция первой очереди и аминовой очистки; проектный статус не равен вводу.</w:t>
      </w:r>
    </w:p>
    <w:p>
      <w:pPr>
        <w:spacing w:after="160"/>
      </w:pPr>
      <w:hyperlink r:id="rId67">
        <w:r>
          <w:rPr>
            <w:color w:val="185F7D"/>
          </w:rPr>
          <w:t>Открыть источник</w:t>
        </w:r>
      </w:hyperlink>
    </w:p>
    <w:p>
      <w:pPr>
        <w:pStyle w:val="Heading3"/>
      </w:pPr>
      <w:bookmarkStart w:id="31" w:name="src_B03"/>
      <w:bookmarkEnd w:id="31"/>
      <w:r>
        <w:t>B03  Вестник Газзавода №2, 2018</w:t>
      </w:r>
    </w:p>
    <w:p>
      <w:pPr>
        <w:keepNext/>
        <w:spacing w:after="60"/>
      </w:pPr>
      <w:r>
        <w:rPr>
          <w:sz w:val="18"/>
        </w:rPr>
        <w:t>Заводская газета. Период: Работы 2017. Раздел: с. 2. Статус: Текст и визуальная проверка.</w:t>
      </w:r>
    </w:p>
    <w:p>
      <w:pPr>
        <w:keepNext/>
        <w:spacing w:after="60"/>
      </w:pPr>
      <w:r>
        <w:rPr>
          <w:sz w:val="19"/>
        </w:rPr>
        <w:t>У-300: переход с пара на горячую воду, не электрообогрев.</w:t>
      </w:r>
    </w:p>
    <w:p>
      <w:pPr>
        <w:spacing w:after="160"/>
      </w:pPr>
      <w:hyperlink r:id="rId69">
        <w:r>
          <w:rPr>
            <w:color w:val="185F7D"/>
          </w:rPr>
          <w:t>Открыть источник</w:t>
        </w:r>
      </w:hyperlink>
    </w:p>
    <w:p>
      <w:pPr>
        <w:pStyle w:val="Heading3"/>
      </w:pPr>
      <w:bookmarkStart w:id="32" w:name="src_Q01_F001"/>
      <w:bookmarkEnd w:id="32"/>
      <w:r>
        <w:t>Q01-F001  Контактный_лист_заказчика.docx</w:t>
      </w:r>
    </w:p>
    <w:p>
      <w:pPr>
        <w:keepNext/>
        <w:spacing w:after="60"/>
      </w:pPr>
      <w:r>
        <w:rPr>
          <w:sz w:val="18"/>
        </w:rPr>
        <w:t>Газпром переработка / ГСП Ремонт; копия из Бикотендера. Период: Документы закупки июль 2026; работы 2026. Раздел: Документ полностью; таблицы/разделы. Статус: Прочитан извлеченный текст.</w:t>
      </w:r>
    </w:p>
    <w:p>
      <w:pPr>
        <w:keepNext/>
        <w:spacing w:after="60"/>
      </w:pPr>
      <w:r>
        <w:rPr>
          <w:sz w:val="19"/>
        </w:rPr>
        <w:t>Состав, объекты, сроки, условия либо деловые контакты закупки Q01.</w:t>
      </w:r>
    </w:p>
    <w:p>
      <w:pPr>
        <w:spacing w:after="160"/>
      </w:pPr>
      <w:hyperlink r:id="rId71">
        <w:r>
          <w:rPr>
            <w:color w:val="185F7D"/>
          </w:rPr>
          <w:t>Открыть источник</w:t>
        </w:r>
      </w:hyperlink>
    </w:p>
    <w:p>
      <w:pPr>
        <w:pStyle w:val="Heading3"/>
      </w:pPr>
      <w:bookmarkStart w:id="33" w:name="src_Q01_F002"/>
      <w:bookmarkEnd w:id="33"/>
      <w:r>
        <w:t>Q01-F002  Протокол_подведения_итогов_для_ЭТП_10_26_2_11303_ГСПР_13.07.2026_АП121211.pdf</w:t>
      </w:r>
    </w:p>
    <w:p>
      <w:pPr>
        <w:keepNext/>
        <w:spacing w:after="60"/>
      </w:pPr>
      <w:r>
        <w:rPr>
          <w:sz w:val="18"/>
        </w:rPr>
        <w:t>Газпром переработка / ГСП Ремонт; копия из Бикотендера. Период: Документы закупки июль 2026; работы 2026. Раздел: Документ полностью; страниц 1. Статус: Текст/OCR прочитан; ключевые страницы визуально проверены.</w:t>
      </w:r>
    </w:p>
    <w:p>
      <w:pPr>
        <w:keepNext/>
        <w:spacing w:after="60"/>
      </w:pPr>
      <w:r>
        <w:rPr>
          <w:sz w:val="19"/>
        </w:rPr>
        <w:t>Лучшей признана заявка ТЕПЛОИЗОЛЯЦИЯ-1; протокол 23.07.2026; НМЦ, не цена исполнения.</w:t>
      </w:r>
    </w:p>
    <w:p>
      <w:pPr>
        <w:spacing w:after="160"/>
      </w:pPr>
      <w:hyperlink r:id="rId71">
        <w:r>
          <w:rPr>
            <w:color w:val="185F7D"/>
          </w:rPr>
          <w:t>Открыть источник</w:t>
        </w:r>
      </w:hyperlink>
    </w:p>
    <w:p>
      <w:pPr>
        <w:pStyle w:val="Heading3"/>
      </w:pPr>
      <w:bookmarkStart w:id="34" w:name="src_Q01_F005"/>
      <w:bookmarkEnd w:id="34"/>
      <w:r>
        <w:t>Q01-F005  2. ТЗ_КР ОГПЗ.docx</w:t>
      </w:r>
    </w:p>
    <w:p>
      <w:pPr>
        <w:keepNext/>
        <w:spacing w:after="60"/>
      </w:pPr>
      <w:r>
        <w:rPr>
          <w:sz w:val="18"/>
        </w:rPr>
        <w:t>Газпром переработка / ГСП Ремонт; копия из Бикотендера. Период: Документы закупки июль 2026; работы 2026. Раздел: Документ полностью; таблицы/разделы. Статус: Прочитан извлеченный текст.</w:t>
      </w:r>
    </w:p>
    <w:p>
      <w:pPr>
        <w:keepNext/>
        <w:spacing w:after="60"/>
      </w:pPr>
      <w:r>
        <w:rPr>
          <w:sz w:val="19"/>
        </w:rPr>
        <w:t>Состав, объекты, сроки, условия либо деловые контакты закупки Q01.</w:t>
      </w:r>
    </w:p>
    <w:p>
      <w:pPr>
        <w:spacing w:after="160"/>
      </w:pPr>
      <w:hyperlink r:id="rId71">
        <w:r>
          <w:rPr>
            <w:color w:val="185F7D"/>
          </w:rPr>
          <w:t>Открыть источник</w:t>
        </w:r>
      </w:hyperlink>
    </w:p>
    <w:p>
      <w:pPr>
        <w:pStyle w:val="Heading3"/>
      </w:pPr>
      <w:bookmarkStart w:id="35" w:name="src_Q01_F007"/>
      <w:bookmarkEnd w:id="35"/>
      <w:r>
        <w:t>Q01-F007  Прил № 1 ТЗ.XLSM</w:t>
      </w:r>
    </w:p>
    <w:p>
      <w:pPr>
        <w:keepNext/>
        <w:spacing w:after="60"/>
      </w:pPr>
      <w:r>
        <w:rPr>
          <w:sz w:val="18"/>
        </w:rPr>
        <w:t>Газпром переработка / ГСП Ремонт; копия из Бикотендера. Период: Документы закупки июль 2026; работы 2026. Раздел: Документ полностью; таблицы/разделы. Статус: Прочитан извлеченный текст.</w:t>
      </w:r>
    </w:p>
    <w:p>
      <w:pPr>
        <w:keepNext/>
        <w:spacing w:after="60"/>
      </w:pPr>
      <w:r>
        <w:rPr>
          <w:sz w:val="19"/>
        </w:rPr>
        <w:t>2У-350 и 3У-370, площади и сроки ремонта изоляции.</w:t>
      </w:r>
    </w:p>
    <w:p>
      <w:pPr>
        <w:spacing w:after="160"/>
      </w:pPr>
      <w:hyperlink r:id="rId71">
        <w:r>
          <w:rPr>
            <w:color w:val="185F7D"/>
          </w:rPr>
          <w:t>Открыть источник</w:t>
        </w:r>
      </w:hyperlink>
    </w:p>
    <w:p>
      <w:pPr>
        <w:pStyle w:val="Heading3"/>
      </w:pPr>
      <w:bookmarkStart w:id="36" w:name="src_Q01_F009"/>
      <w:bookmarkEnd w:id="36"/>
      <w:r>
        <w:t>Q01-F009  1_ВД 142000119951.pdf</w:t>
      </w:r>
    </w:p>
    <w:p>
      <w:pPr>
        <w:keepNext/>
        <w:spacing w:after="60"/>
      </w:pPr>
      <w:r>
        <w:rPr>
          <w:sz w:val="18"/>
        </w:rPr>
        <w:t>Газпром переработка / ГСП Ремонт; копия из Бикотендера. Период: Документы закупки июль 2026; работы 2026. Раздел: Документ полностью; страниц 5. Статус: Текст/OCR прочитан; ключевые страницы визуально проверены.</w:t>
      </w:r>
    </w:p>
    <w:p>
      <w:pPr>
        <w:keepNext/>
        <w:spacing w:after="60"/>
      </w:pPr>
      <w:r>
        <w:rPr>
          <w:sz w:val="19"/>
        </w:rPr>
        <w:t>ВД 142000119951: 1180 м² против 1108 м² в приложении 1.</w:t>
      </w:r>
    </w:p>
    <w:p>
      <w:pPr>
        <w:spacing w:after="160"/>
      </w:pPr>
      <w:hyperlink r:id="rId71">
        <w:r>
          <w:rPr>
            <w:color w:val="185F7D"/>
          </w:rPr>
          <w:t>Открыть источник</w:t>
        </w:r>
      </w:hyperlink>
    </w:p>
    <w:p>
      <w:pPr>
        <w:pStyle w:val="Heading3"/>
      </w:pPr>
      <w:bookmarkStart w:id="37" w:name="src_Q01_F010"/>
      <w:bookmarkEnd w:id="37"/>
      <w:r>
        <w:t>Q01-F010  1_ВД 142000117285.pdf</w:t>
      </w:r>
    </w:p>
    <w:p>
      <w:pPr>
        <w:keepNext/>
        <w:spacing w:after="60"/>
      </w:pPr>
      <w:r>
        <w:rPr>
          <w:sz w:val="18"/>
        </w:rPr>
        <w:t>Газпром переработка / ГСП Ремонт; копия из Бикотендера. Период: Документы закупки июль 2026; работы 2026. Раздел: Документ полностью; страниц 3. Статус: Текст/OCR прочитан; ключевые страницы визуально проверены.</w:t>
      </w:r>
    </w:p>
    <w:p>
      <w:pPr>
        <w:keepNext/>
        <w:spacing w:after="60"/>
      </w:pPr>
      <w:r>
        <w:rPr>
          <w:sz w:val="19"/>
        </w:rPr>
        <w:t>Состав, объекты, сроки, условия либо деловые контакты закупки Q01.</w:t>
      </w:r>
    </w:p>
    <w:p>
      <w:pPr>
        <w:spacing w:after="160"/>
      </w:pPr>
      <w:hyperlink r:id="rId71">
        <w:r>
          <w:rPr>
            <w:color w:val="185F7D"/>
          </w:rPr>
          <w:t>Открыть источник</w:t>
        </w:r>
      </w:hyperlink>
    </w:p>
    <w:p>
      <w:pPr>
        <w:pStyle w:val="Heading3"/>
      </w:pPr>
      <w:bookmarkStart w:id="38" w:name="src_Q01_F011"/>
      <w:bookmarkEnd w:id="38"/>
      <w:r>
        <w:t>Q01-F011  2_ВД 142000119346 доп.3.pdf</w:t>
      </w:r>
    </w:p>
    <w:p>
      <w:pPr>
        <w:keepNext/>
        <w:spacing w:after="60"/>
      </w:pPr>
      <w:r>
        <w:rPr>
          <w:sz w:val="18"/>
        </w:rPr>
        <w:t>Газпром переработка / ГСП Ремонт; копия из Бикотендера. Период: Документы закупки июль 2026; работы 2026. Раздел: Документ полностью; страниц 3. Статус: Текст/OCR прочитан; ключевые страницы визуально проверены.</w:t>
      </w:r>
    </w:p>
    <w:p>
      <w:pPr>
        <w:keepNext/>
        <w:spacing w:after="60"/>
      </w:pPr>
      <w:r>
        <w:rPr>
          <w:sz w:val="19"/>
        </w:rPr>
        <w:t>Состав, объекты, сроки, условия либо деловые контакты закупки Q01.</w:t>
      </w:r>
    </w:p>
    <w:p>
      <w:pPr>
        <w:spacing w:after="160"/>
      </w:pPr>
      <w:hyperlink r:id="rId71">
        <w:r>
          <w:rPr>
            <w:color w:val="185F7D"/>
          </w:rPr>
          <w:t>Открыть источник</w:t>
        </w:r>
      </w:hyperlink>
    </w:p>
    <w:p>
      <w:pPr>
        <w:pStyle w:val="Heading3"/>
      </w:pPr>
      <w:bookmarkStart w:id="39" w:name="src_Q01_F012"/>
      <w:bookmarkEnd w:id="39"/>
      <w:r>
        <w:t>Q01-F012  3_ВД 142000117285 доп.2.pdf</w:t>
      </w:r>
    </w:p>
    <w:p>
      <w:pPr>
        <w:keepNext/>
        <w:spacing w:after="60"/>
      </w:pPr>
      <w:r>
        <w:rPr>
          <w:sz w:val="18"/>
        </w:rPr>
        <w:t>Газпром переработка / ГСП Ремонт; копия из Бикотендера. Период: Документы закупки июль 2026; работы 2026. Раздел: Документ полностью; страниц 3. Статус: Текст/OCR прочитан; ключевые страницы визуально проверены.</w:t>
      </w:r>
    </w:p>
    <w:p>
      <w:pPr>
        <w:keepNext/>
        <w:spacing w:after="60"/>
      </w:pPr>
      <w:r>
        <w:rPr>
          <w:sz w:val="19"/>
        </w:rPr>
        <w:t>Состав, объекты, сроки, условия либо деловые контакты закупки Q01.</w:t>
      </w:r>
    </w:p>
    <w:p>
      <w:pPr>
        <w:spacing w:after="160"/>
      </w:pPr>
      <w:hyperlink r:id="rId71">
        <w:r>
          <w:rPr>
            <w:color w:val="185F7D"/>
          </w:rPr>
          <w:t>Открыть источник</w:t>
        </w:r>
      </w:hyperlink>
    </w:p>
    <w:p>
      <w:pPr>
        <w:pStyle w:val="Heading3"/>
      </w:pPr>
      <w:bookmarkStart w:id="40" w:name="src_Q01_F013"/>
      <w:bookmarkEnd w:id="40"/>
      <w:r>
        <w:t>Q01-F013  5_ВД 142000119346 доп.2.pdf</w:t>
      </w:r>
    </w:p>
    <w:p>
      <w:pPr>
        <w:keepNext/>
        <w:spacing w:after="60"/>
      </w:pPr>
      <w:r>
        <w:rPr>
          <w:sz w:val="18"/>
        </w:rPr>
        <w:t>Газпром переработка / ГСП Ремонт; копия из Бикотендера. Период: Документы закупки июль 2026; работы 2026. Раздел: Документ полностью; страниц 3. Статус: Текст/OCR прочитан; ключевые страницы визуально проверены.</w:t>
      </w:r>
    </w:p>
    <w:p>
      <w:pPr>
        <w:keepNext/>
        <w:spacing w:after="60"/>
      </w:pPr>
      <w:r>
        <w:rPr>
          <w:sz w:val="19"/>
        </w:rPr>
        <w:t>Состав, объекты, сроки, условия либо деловые контакты закупки Q01.</w:t>
      </w:r>
    </w:p>
    <w:p>
      <w:pPr>
        <w:spacing w:after="160"/>
      </w:pPr>
      <w:hyperlink r:id="rId71">
        <w:r>
          <w:rPr>
            <w:color w:val="185F7D"/>
          </w:rPr>
          <w:t>Открыть источник</w:t>
        </w:r>
      </w:hyperlink>
    </w:p>
    <w:p>
      <w:pPr>
        <w:pStyle w:val="Heading3"/>
      </w:pPr>
      <w:bookmarkStart w:id="41" w:name="src_Q01_F014"/>
      <w:bookmarkEnd w:id="41"/>
      <w:r>
        <w:t>Q01-F014  6_ВД 142000117285 доп.1.pdf</w:t>
      </w:r>
    </w:p>
    <w:p>
      <w:pPr>
        <w:keepNext/>
        <w:spacing w:after="60"/>
      </w:pPr>
      <w:r>
        <w:rPr>
          <w:sz w:val="18"/>
        </w:rPr>
        <w:t>Газпром переработка / ГСП Ремонт; копия из Бикотендера. Период: Документы закупки июль 2026; работы 2026. Раздел: Документ полностью; страниц 4. Статус: Текст/OCR прочитан; ключевые страницы визуально проверены.</w:t>
      </w:r>
    </w:p>
    <w:p>
      <w:pPr>
        <w:keepNext/>
        <w:spacing w:after="60"/>
      </w:pPr>
      <w:r>
        <w:rPr>
          <w:sz w:val="19"/>
        </w:rPr>
        <w:t>Состав, объекты, сроки, условия либо деловые контакты закупки Q01.</w:t>
      </w:r>
    </w:p>
    <w:p>
      <w:pPr>
        <w:spacing w:after="160"/>
      </w:pPr>
      <w:hyperlink r:id="rId71">
        <w:r>
          <w:rPr>
            <w:color w:val="185F7D"/>
          </w:rPr>
          <w:t>Открыть источник</w:t>
        </w:r>
      </w:hyperlink>
    </w:p>
    <w:p>
      <w:pPr>
        <w:pStyle w:val="Heading3"/>
      </w:pPr>
      <w:bookmarkStart w:id="42" w:name="src_Q01_F015"/>
      <w:bookmarkEnd w:id="42"/>
      <w:r>
        <w:t>Q01-F015  6_ВД 142000119346.pdf</w:t>
      </w:r>
    </w:p>
    <w:p>
      <w:pPr>
        <w:keepNext/>
        <w:spacing w:after="60"/>
      </w:pPr>
      <w:r>
        <w:rPr>
          <w:sz w:val="18"/>
        </w:rPr>
        <w:t>Газпром переработка / ГСП Ремонт; копия из Бикотендера. Период: Документы закупки июль 2026; работы 2026. Раздел: Документ полностью; страниц 3. Статус: Текст/OCR прочитан; ключевые страницы визуально проверены.</w:t>
      </w:r>
    </w:p>
    <w:p>
      <w:pPr>
        <w:keepNext/>
        <w:spacing w:after="60"/>
      </w:pPr>
      <w:r>
        <w:rPr>
          <w:sz w:val="19"/>
        </w:rPr>
        <w:t>Состав, объекты, сроки, условия либо деловые контакты закупки Q01.</w:t>
      </w:r>
    </w:p>
    <w:p>
      <w:pPr>
        <w:spacing w:after="160"/>
      </w:pPr>
      <w:hyperlink r:id="rId71">
        <w:r>
          <w:rPr>
            <w:color w:val="185F7D"/>
          </w:rPr>
          <w:t>Открыть источник</w:t>
        </w:r>
      </w:hyperlink>
    </w:p>
    <w:p>
      <w:pPr>
        <w:pStyle w:val="Heading3"/>
      </w:pPr>
      <w:bookmarkStart w:id="43" w:name="src_Q01_F016"/>
      <w:bookmarkEnd w:id="43"/>
      <w:r>
        <w:t>Q01-F016  8_ВД 142000119346 доп.1.pdf</w:t>
      </w:r>
    </w:p>
    <w:p>
      <w:pPr>
        <w:keepNext/>
        <w:spacing w:after="60"/>
      </w:pPr>
      <w:r>
        <w:rPr>
          <w:sz w:val="18"/>
        </w:rPr>
        <w:t>Газпром переработка / ГСП Ремонт; копия из Бикотендера. Период: Документы закупки июль 2026; работы 2026. Раздел: Документ полностью; страниц 3. Статус: Текст/OCR прочитан; ключевые страницы визуально проверены.</w:t>
      </w:r>
    </w:p>
    <w:p>
      <w:pPr>
        <w:keepNext/>
        <w:spacing w:after="60"/>
      </w:pPr>
      <w:r>
        <w:rPr>
          <w:sz w:val="19"/>
        </w:rPr>
        <w:t>Состав, объекты, сроки, условия либо деловые контакты закупки Q01.</w:t>
      </w:r>
    </w:p>
    <w:p>
      <w:pPr>
        <w:spacing w:after="160"/>
      </w:pPr>
      <w:hyperlink r:id="rId71">
        <w:r>
          <w:rPr>
            <w:color w:val="185F7D"/>
          </w:rPr>
          <w:t>Открыть источник</w:t>
        </w:r>
      </w:hyperlink>
    </w:p>
    <w:p>
      <w:pPr>
        <w:pStyle w:val="Heading3"/>
      </w:pPr>
      <w:bookmarkStart w:id="44" w:name="src_Q02_F039"/>
      <w:bookmarkEnd w:id="44"/>
      <w:r>
        <w:t>Q02-F039  2_Контактный_лист_заказчика.xlsx</w:t>
      </w:r>
    </w:p>
    <w:p>
      <w:pPr>
        <w:keepNext/>
        <w:spacing w:after="60"/>
      </w:pPr>
      <w:r>
        <w:rPr>
          <w:sz w:val="18"/>
        </w:rPr>
        <w:t>Газпром переработка / ГСП Ремонт; копия из Бикотендера. Период: Документы июль 2026; работы до 31.12.2026. Раздел: Документ полностью; таблицы/разделы. Статус: Прочитан извлеченный текст.</w:t>
      </w:r>
    </w:p>
    <w:p>
      <w:pPr>
        <w:keepNext/>
        <w:spacing w:after="60"/>
      </w:pPr>
      <w:r>
        <w:rPr>
          <w:sz w:val="19"/>
        </w:rPr>
        <w:t>Состав, объекты, сроки, условия либо деловые контакты закупки Q02.</w:t>
      </w:r>
    </w:p>
    <w:p>
      <w:pPr>
        <w:spacing w:after="160"/>
      </w:pPr>
      <w:hyperlink r:id="rId84">
        <w:r>
          <w:rPr>
            <w:color w:val="185F7D"/>
          </w:rPr>
          <w:t>Открыть источник</w:t>
        </w:r>
      </w:hyperlink>
    </w:p>
    <w:p>
      <w:pPr>
        <w:pStyle w:val="Heading3"/>
      </w:pPr>
      <w:bookmarkStart w:id="45" w:name="src_Q02_F042"/>
      <w:bookmarkEnd w:id="45"/>
      <w:r>
        <w:t>Q02-F042  2. ТЗ_КР ЗиС +.DOCX</w:t>
      </w:r>
    </w:p>
    <w:p>
      <w:pPr>
        <w:keepNext/>
        <w:spacing w:after="60"/>
      </w:pPr>
      <w:r>
        <w:rPr>
          <w:sz w:val="18"/>
        </w:rPr>
        <w:t>Газпром переработка / ГСП Ремонт; копия из Бикотендера. Период: Документы июль 2026; работы до 31.12.2026. Раздел: Документ полностью; таблицы/разделы. Статус: Прочитан извлеченный текст.</w:t>
      </w:r>
    </w:p>
    <w:p>
      <w:pPr>
        <w:keepNext/>
        <w:spacing w:after="60"/>
      </w:pPr>
      <w:r>
        <w:rPr>
          <w:sz w:val="19"/>
        </w:rPr>
        <w:t>Состав, объекты, сроки, условия либо деловые контакты закупки Q02.</w:t>
      </w:r>
    </w:p>
    <w:p>
      <w:pPr>
        <w:spacing w:after="160"/>
      </w:pPr>
      <w:hyperlink r:id="rId84">
        <w:r>
          <w:rPr>
            <w:color w:val="185F7D"/>
          </w:rPr>
          <w:t>Открыть источник</w:t>
        </w:r>
      </w:hyperlink>
    </w:p>
    <w:p>
      <w:pPr>
        <w:pStyle w:val="Heading3"/>
      </w:pPr>
      <w:bookmarkStart w:id="46" w:name="src_Q02_F046"/>
      <w:bookmarkEnd w:id="46"/>
      <w:r>
        <w:t>Q02-F046  Прил № 1 ТЗ КР.XLSM</w:t>
      </w:r>
    </w:p>
    <w:p>
      <w:pPr>
        <w:keepNext/>
        <w:spacing w:after="60"/>
      </w:pPr>
      <w:r>
        <w:rPr>
          <w:sz w:val="18"/>
        </w:rPr>
        <w:t>Газпром переработка / ГСП Ремонт; копия из Бикотендера. Период: Документы июль 2026; работы до 31.12.2026. Раздел: Документ полностью; таблицы/разделы. Статус: Прочитан извлеченный текст.</w:t>
      </w:r>
    </w:p>
    <w:p>
      <w:pPr>
        <w:keepNext/>
        <w:spacing w:after="60"/>
      </w:pPr>
      <w:r>
        <w:rPr>
          <w:sz w:val="19"/>
        </w:rPr>
        <w:t>Состав, объекты, сроки, условия либо деловые контакты закупки Q02.</w:t>
      </w:r>
    </w:p>
    <w:p>
      <w:pPr>
        <w:spacing w:after="160"/>
      </w:pPr>
      <w:hyperlink r:id="rId84">
        <w:r>
          <w:rPr>
            <w:color w:val="185F7D"/>
          </w:rPr>
          <w:t>Открыть источник</w:t>
        </w:r>
      </w:hyperlink>
    </w:p>
    <w:p>
      <w:pPr>
        <w:pStyle w:val="Heading3"/>
      </w:pPr>
      <w:bookmarkStart w:id="47" w:name="src_Q02_F048"/>
      <w:bookmarkEnd w:id="47"/>
      <w:r>
        <w:t>Q02-F048  2_ВД 142000098767_9e497028_2cef_11f1_9f98_000c295b1260.pdf</w:t>
      </w:r>
    </w:p>
    <w:p>
      <w:pPr>
        <w:keepNext/>
        <w:spacing w:after="60"/>
      </w:pPr>
      <w:r>
        <w:rPr>
          <w:sz w:val="18"/>
        </w:rPr>
        <w:t>Газпром переработка / ГСП Ремонт; копия из Бикотендера. Период: Документы июль 2026; работы до 31.12.2026. Раздел: Документ полностью; страниц 4. Статус: Текст/OCR прочитан; ключевые страницы визуально проверены.</w:t>
      </w:r>
    </w:p>
    <w:p>
      <w:pPr>
        <w:keepNext/>
        <w:spacing w:after="60"/>
      </w:pPr>
      <w:r>
        <w:rPr>
          <w:sz w:val="19"/>
        </w:rPr>
        <w:t>61Т04: строительный ремонт футеровки/бетона, не электрообогрев.</w:t>
      </w:r>
    </w:p>
    <w:p>
      <w:pPr>
        <w:spacing w:after="160"/>
      </w:pPr>
      <w:hyperlink r:id="rId84">
        <w:r>
          <w:rPr>
            <w:color w:val="185F7D"/>
          </w:rPr>
          <w:t>Открыть источник</w:t>
        </w:r>
      </w:hyperlink>
    </w:p>
    <w:p>
      <w:pPr>
        <w:pStyle w:val="Heading3"/>
      </w:pPr>
      <w:bookmarkStart w:id="48" w:name="src_Q02_F049"/>
      <w:bookmarkEnd w:id="48"/>
      <w:r>
        <w:t>Q02-F049  2_ВД 142000098866-изм.1 350900446_ad186949_2cef_11f1_9f98_000c295b1260.pdf</w:t>
      </w:r>
    </w:p>
    <w:p>
      <w:pPr>
        <w:keepNext/>
        <w:spacing w:after="60"/>
      </w:pPr>
      <w:r>
        <w:rPr>
          <w:sz w:val="18"/>
        </w:rPr>
        <w:t>Газпром переработка / ГСП Ремонт; копия из Бикотендера. Период: Документы июль 2026; работы до 31.12.2026. Раздел: Документ полностью; страниц 1. Статус: Текст/OCR прочитан; ключевые страницы визуально проверены.</w:t>
      </w:r>
    </w:p>
    <w:p>
      <w:pPr>
        <w:keepNext/>
        <w:spacing w:after="60"/>
      </w:pPr>
      <w:r>
        <w:rPr>
          <w:sz w:val="19"/>
        </w:rPr>
        <w:t>Состав, объекты, сроки, условия либо деловые контакты закупки Q02.</w:t>
      </w:r>
    </w:p>
    <w:p>
      <w:pPr>
        <w:spacing w:after="160"/>
      </w:pPr>
      <w:hyperlink r:id="rId84">
        <w:r>
          <w:rPr>
            <w:color w:val="185F7D"/>
          </w:rPr>
          <w:t>Открыть источник</w:t>
        </w:r>
      </w:hyperlink>
    </w:p>
    <w:p>
      <w:pPr>
        <w:pStyle w:val="Heading3"/>
      </w:pPr>
      <w:bookmarkStart w:id="49" w:name="src_Q02_F050"/>
      <w:bookmarkEnd w:id="49"/>
      <w:r>
        <w:t>Q02-F050  2_ВД 142000098867-изм.1 350900447_ad186b8b_2cef_11f1_9f98_000c295b1260.pdf</w:t>
      </w:r>
    </w:p>
    <w:p>
      <w:pPr>
        <w:keepNext/>
        <w:spacing w:after="60"/>
      </w:pPr>
      <w:r>
        <w:rPr>
          <w:sz w:val="18"/>
        </w:rPr>
        <w:t>Газпром переработка / ГСП Ремонт; копия из Бикотендера. Период: Документы июль 2026; работы до 31.12.2026. Раздел: Документ полностью; страниц 1. Статус: Текст/OCR прочитан; ключевые страницы визуально проверены.</w:t>
      </w:r>
    </w:p>
    <w:p>
      <w:pPr>
        <w:keepNext/>
        <w:spacing w:after="60"/>
      </w:pPr>
      <w:r>
        <w:rPr>
          <w:sz w:val="19"/>
        </w:rPr>
        <w:t>Состав, объекты, сроки, условия либо деловые контакты закупки Q02.</w:t>
      </w:r>
    </w:p>
    <w:p>
      <w:pPr>
        <w:spacing w:after="160"/>
      </w:pPr>
      <w:hyperlink r:id="rId84">
        <w:r>
          <w:rPr>
            <w:color w:val="185F7D"/>
          </w:rPr>
          <w:t>Открыть источник</w:t>
        </w:r>
      </w:hyperlink>
    </w:p>
    <w:p>
      <w:pPr>
        <w:pStyle w:val="Heading3"/>
      </w:pPr>
      <w:bookmarkStart w:id="50" w:name="src_Q02_F051"/>
      <w:bookmarkEnd w:id="50"/>
      <w:r>
        <w:t>Q02-F051  2_ВД 142000098868-изм.1 350900448_ad186dbb_2cef_11f1_9f98_000c295b1260.pdf</w:t>
      </w:r>
    </w:p>
    <w:p>
      <w:pPr>
        <w:keepNext/>
        <w:spacing w:after="60"/>
      </w:pPr>
      <w:r>
        <w:rPr>
          <w:sz w:val="18"/>
        </w:rPr>
        <w:t>Газпром переработка / ГСП Ремонт; копия из Бикотендера. Период: Документы июль 2026; работы до 31.12.2026. Раздел: Документ полностью; страниц 1. Статус: Текст/OCR прочитан; ключевые страницы визуально проверены.</w:t>
      </w:r>
    </w:p>
    <w:p>
      <w:pPr>
        <w:keepNext/>
        <w:spacing w:after="60"/>
      </w:pPr>
      <w:r>
        <w:rPr>
          <w:sz w:val="19"/>
        </w:rPr>
        <w:t>Состав, объекты, сроки, условия либо деловые контакты закупки Q02.</w:t>
      </w:r>
    </w:p>
    <w:p>
      <w:pPr>
        <w:spacing w:after="160"/>
      </w:pPr>
      <w:hyperlink r:id="rId84">
        <w:r>
          <w:rPr>
            <w:color w:val="185F7D"/>
          </w:rPr>
          <w:t>Открыть источник</w:t>
        </w:r>
      </w:hyperlink>
    </w:p>
    <w:p>
      <w:pPr>
        <w:pStyle w:val="Heading3"/>
      </w:pPr>
      <w:bookmarkStart w:id="51" w:name="src_Q02_F063"/>
      <w:bookmarkEnd w:id="51"/>
      <w:r>
        <w:t>Q02-F063  Документация о закупке.DOCX</w:t>
      </w:r>
    </w:p>
    <w:p>
      <w:pPr>
        <w:keepNext/>
        <w:spacing w:after="60"/>
      </w:pPr>
      <w:r>
        <w:rPr>
          <w:sz w:val="18"/>
        </w:rPr>
        <w:t>Газпром переработка / ГСП Ремонт; копия из Бикотендера. Период: Документы июль 2026; работы до 31.12.2026. Раздел: Документ полностью; таблицы/разделы. Статус: Прочитан извлеченный текст.</w:t>
      </w:r>
    </w:p>
    <w:p>
      <w:pPr>
        <w:keepNext/>
        <w:spacing w:after="60"/>
      </w:pPr>
      <w:r>
        <w:rPr>
          <w:sz w:val="19"/>
        </w:rPr>
        <w:t>Состав, объекты, сроки, условия либо деловые контакты закупки Q02.</w:t>
      </w:r>
    </w:p>
    <w:p>
      <w:pPr>
        <w:spacing w:after="160"/>
      </w:pPr>
      <w:hyperlink r:id="rId84">
        <w:r>
          <w:rPr>
            <w:color w:val="185F7D"/>
          </w:rPr>
          <w:t>Открыть источник</w:t>
        </w:r>
      </w:hyperlink>
    </w:p>
    <w:p>
      <w:pPr>
        <w:pStyle w:val="Heading3"/>
      </w:pPr>
      <w:bookmarkStart w:id="52" w:name="src_Q03_F045"/>
      <w:bookmarkEnd w:id="52"/>
      <w:r>
        <w:t>Q03-F045  2. ТЗ_КР ЗиС +.DOCX</w:t>
      </w:r>
    </w:p>
    <w:p>
      <w:pPr>
        <w:keepNext/>
        <w:spacing w:after="60"/>
      </w:pPr>
      <w:r>
        <w:rPr>
          <w:sz w:val="18"/>
        </w:rPr>
        <w:t>Газпром переработка / ГСП Ремонт; копия из Бикотендера. Период: Документы сентябрь 2026; работы 2027. Раздел: Документ полностью; таблицы/разделы. Статус: Прочитан извлеченный текст.</w:t>
      </w:r>
    </w:p>
    <w:p>
      <w:pPr>
        <w:keepNext/>
        <w:spacing w:after="60"/>
      </w:pPr>
      <w:r>
        <w:rPr>
          <w:sz w:val="19"/>
        </w:rPr>
        <w:t>Состав, объекты, сроки, условия либо деловые контакты закупки Q03.</w:t>
      </w:r>
    </w:p>
    <w:p>
      <w:pPr>
        <w:spacing w:after="160"/>
      </w:pPr>
      <w:hyperlink r:id="rId93">
        <w:r>
          <w:rPr>
            <w:color w:val="185F7D"/>
          </w:rPr>
          <w:t>Открыть источник</w:t>
        </w:r>
      </w:hyperlink>
    </w:p>
    <w:p>
      <w:pPr>
        <w:pStyle w:val="Heading3"/>
      </w:pPr>
      <w:bookmarkStart w:id="53" w:name="src_Q03_F048"/>
      <w:bookmarkEnd w:id="53"/>
      <w:r>
        <w:t>Q03-F048  Прил № 1 ТЗ.XLSM</w:t>
      </w:r>
    </w:p>
    <w:p>
      <w:pPr>
        <w:keepNext/>
        <w:spacing w:after="60"/>
      </w:pPr>
      <w:r>
        <w:rPr>
          <w:sz w:val="18"/>
        </w:rPr>
        <w:t>Газпром переработка / ГСП Ремонт; копия из Бикотендера. Период: Документы сентябрь 2026; работы 2027. Раздел: Документ полностью; таблицы/разделы. Статус: Прочитан извлеченный текст.</w:t>
      </w:r>
    </w:p>
    <w:p>
      <w:pPr>
        <w:keepNext/>
        <w:spacing w:after="60"/>
      </w:pPr>
      <w:r>
        <w:rPr>
          <w:sz w:val="19"/>
        </w:rPr>
        <w:t>Состав, объекты, сроки, условия либо деловые контакты закупки Q03.</w:t>
      </w:r>
    </w:p>
    <w:p>
      <w:pPr>
        <w:spacing w:after="160"/>
      </w:pPr>
      <w:hyperlink r:id="rId93">
        <w:r>
          <w:rPr>
            <w:color w:val="185F7D"/>
          </w:rPr>
          <w:t>Открыть источник</w:t>
        </w:r>
      </w:hyperlink>
    </w:p>
    <w:p>
      <w:pPr>
        <w:pStyle w:val="Heading3"/>
      </w:pPr>
      <w:bookmarkStart w:id="54" w:name="src_Q03_F057"/>
      <w:bookmarkEnd w:id="54"/>
      <w:r>
        <w:t>Q03-F057  4_ВД 142000115314 350882204.pdf</w:t>
      </w:r>
    </w:p>
    <w:p>
      <w:pPr>
        <w:keepNext/>
        <w:spacing w:after="60"/>
      </w:pPr>
      <w:r>
        <w:rPr>
          <w:sz w:val="18"/>
        </w:rPr>
        <w:t>Газпром переработка / ГСП Ремонт; копия из Бикотендера. Период: Документы сентябрь 2026; работы 2027. Раздел: Документ полностью; страниц 1. Статус: OCR прочитан; выборочная визуальная проверка.</w:t>
      </w:r>
    </w:p>
    <w:p>
      <w:pPr>
        <w:keepNext/>
        <w:spacing w:after="60"/>
      </w:pPr>
      <w:r>
        <w:rPr>
          <w:sz w:val="19"/>
        </w:rPr>
        <w:t>Состав, объекты, сроки, условия либо деловые контакты закупки Q03.</w:t>
      </w:r>
    </w:p>
    <w:p>
      <w:pPr>
        <w:spacing w:after="160"/>
      </w:pPr>
      <w:hyperlink r:id="rId93">
        <w:r>
          <w:rPr>
            <w:color w:val="185F7D"/>
          </w:rPr>
          <w:t>Открыть источник</w:t>
        </w:r>
      </w:hyperlink>
    </w:p>
    <w:p>
      <w:pPr>
        <w:pStyle w:val="Heading3"/>
      </w:pPr>
      <w:bookmarkStart w:id="55" w:name="src_Q03_F062"/>
      <w:bookmarkEnd w:id="55"/>
      <w:r>
        <w:t>Q03-F062  1_ВД 142000115399 350882235.pdf</w:t>
      </w:r>
    </w:p>
    <w:p>
      <w:pPr>
        <w:keepNext/>
        <w:spacing w:after="60"/>
      </w:pPr>
      <w:r>
        <w:rPr>
          <w:sz w:val="18"/>
        </w:rPr>
        <w:t>Газпром переработка / ГСП Ремонт; копия из Бикотендера. Период: Документы сентябрь 2026; работы 2027. Раздел: Документ полностью; страниц 1. Статус: OCR прочитан; выборочная визуальная проверка.</w:t>
      </w:r>
    </w:p>
    <w:p>
      <w:pPr>
        <w:keepNext/>
        <w:spacing w:after="60"/>
      </w:pPr>
      <w:r>
        <w:rPr>
          <w:sz w:val="19"/>
        </w:rPr>
        <w:t>Состав, объекты, сроки, условия либо деловые контакты закупки Q03.</w:t>
      </w:r>
    </w:p>
    <w:p>
      <w:pPr>
        <w:spacing w:after="160"/>
      </w:pPr>
      <w:hyperlink r:id="rId93">
        <w:r>
          <w:rPr>
            <w:color w:val="185F7D"/>
          </w:rPr>
          <w:t>Открыть источник</w:t>
        </w:r>
      </w:hyperlink>
    </w:p>
    <w:p>
      <w:pPr>
        <w:pStyle w:val="Heading3"/>
      </w:pPr>
      <w:bookmarkStart w:id="56" w:name="src_Q03_F072"/>
      <w:bookmarkEnd w:id="56"/>
      <w:r>
        <w:t>Q03-F072  3_ВД 142000115400 350882236.pdf</w:t>
      </w:r>
    </w:p>
    <w:p>
      <w:pPr>
        <w:keepNext/>
        <w:spacing w:after="60"/>
      </w:pPr>
      <w:r>
        <w:rPr>
          <w:sz w:val="18"/>
        </w:rPr>
        <w:t>Газпром переработка / ГСП Ремонт; копия из Бикотендера. Период: Документы сентябрь 2026; работы 2027. Раздел: Документ полностью; страниц 1. Статус: OCR прочитан; выборочная визуальная проверка.</w:t>
      </w:r>
    </w:p>
    <w:p>
      <w:pPr>
        <w:keepNext/>
        <w:spacing w:after="60"/>
      </w:pPr>
      <w:r>
        <w:rPr>
          <w:sz w:val="19"/>
        </w:rPr>
        <w:t>Состав, объекты, сроки, условия либо деловые контакты закупки Q03.</w:t>
      </w:r>
    </w:p>
    <w:p>
      <w:pPr>
        <w:spacing w:after="160"/>
      </w:pPr>
      <w:hyperlink r:id="rId93">
        <w:r>
          <w:rPr>
            <w:color w:val="185F7D"/>
          </w:rPr>
          <w:t>Открыть источник</w:t>
        </w:r>
      </w:hyperlink>
    </w:p>
    <w:p>
      <w:pPr>
        <w:pStyle w:val="Heading3"/>
      </w:pPr>
      <w:bookmarkStart w:id="57" w:name="src_Q03_F080"/>
      <w:bookmarkEnd w:id="57"/>
      <w:r>
        <w:t>Q03-F080  3_ВД 142000115401 350882237.pdf</w:t>
      </w:r>
    </w:p>
    <w:p>
      <w:pPr>
        <w:keepNext/>
        <w:spacing w:after="60"/>
      </w:pPr>
      <w:r>
        <w:rPr>
          <w:sz w:val="18"/>
        </w:rPr>
        <w:t>Газпром переработка / ГСП Ремонт; копия из Бикотендера. Период: Документы сентябрь 2026; работы 2027. Раздел: Документ полностью; страниц 1. Статус: OCR прочитан; выборочная визуальная проверка.</w:t>
      </w:r>
    </w:p>
    <w:p>
      <w:pPr>
        <w:keepNext/>
        <w:spacing w:after="60"/>
      </w:pPr>
      <w:r>
        <w:rPr>
          <w:sz w:val="19"/>
        </w:rPr>
        <w:t>Состав, объекты, сроки, условия либо деловые контакты закупки Q03.</w:t>
      </w:r>
    </w:p>
    <w:p>
      <w:pPr>
        <w:spacing w:after="160"/>
      </w:pPr>
      <w:hyperlink r:id="rId93">
        <w:r>
          <w:rPr>
            <w:color w:val="185F7D"/>
          </w:rPr>
          <w:t>Открыть источник</w:t>
        </w:r>
      </w:hyperlink>
    </w:p>
    <w:p>
      <w:pPr>
        <w:pStyle w:val="Heading3"/>
      </w:pPr>
      <w:bookmarkStart w:id="58" w:name="src_Q03_F086"/>
      <w:bookmarkEnd w:id="58"/>
      <w:r>
        <w:t>Q03-F086  1_ВД 142000115409 350882238.pdf</w:t>
      </w:r>
    </w:p>
    <w:p>
      <w:pPr>
        <w:keepNext/>
        <w:spacing w:after="60"/>
      </w:pPr>
      <w:r>
        <w:rPr>
          <w:sz w:val="18"/>
        </w:rPr>
        <w:t>Газпром переработка / ГСП Ремонт; копия из Бикотендера. Период: Документы сентябрь 2026; работы 2027. Раздел: Документ полностью; страниц 3. Статус: Изучены титул и состав по OCR; числовые объемы в выводах не использованы.</w:t>
      </w:r>
    </w:p>
    <w:p>
      <w:pPr>
        <w:keepNext/>
        <w:spacing w:after="60"/>
      </w:pPr>
      <w:r>
        <w:rPr>
          <w:sz w:val="19"/>
        </w:rPr>
        <w:t>Состав, объекты, сроки, условия либо деловые контакты закупки Q03.</w:t>
      </w:r>
    </w:p>
    <w:p>
      <w:pPr>
        <w:spacing w:after="160"/>
      </w:pPr>
      <w:hyperlink r:id="rId93">
        <w:r>
          <w:rPr>
            <w:color w:val="185F7D"/>
          </w:rPr>
          <w:t>Открыть источник</w:t>
        </w:r>
      </w:hyperlink>
    </w:p>
    <w:p>
      <w:pPr>
        <w:pStyle w:val="Heading3"/>
      </w:pPr>
      <w:bookmarkStart w:id="59" w:name="src_Q03_F096"/>
      <w:bookmarkEnd w:id="59"/>
      <w:r>
        <w:t>Q03-F096  3_ВД 142000119440 350882241.pdf</w:t>
      </w:r>
    </w:p>
    <w:p>
      <w:pPr>
        <w:keepNext/>
        <w:spacing w:after="60"/>
      </w:pPr>
      <w:r>
        <w:rPr>
          <w:sz w:val="18"/>
        </w:rPr>
        <w:t>Газпром переработка / ГСП Ремонт; копия из Бикотендера. Период: Документы сентябрь 2026; работы 2027. Раздел: Документ полностью; страниц 3. Статус: Изучены титул и состав по OCR; числовые объемы в выводах не использованы.</w:t>
      </w:r>
    </w:p>
    <w:p>
      <w:pPr>
        <w:keepNext/>
        <w:spacing w:after="60"/>
      </w:pPr>
      <w:r>
        <w:rPr>
          <w:sz w:val="19"/>
        </w:rPr>
        <w:t>Состав, объекты, сроки, условия либо деловые контакты закупки Q03.</w:t>
      </w:r>
    </w:p>
    <w:p>
      <w:pPr>
        <w:spacing w:after="160"/>
      </w:pPr>
      <w:hyperlink r:id="rId93">
        <w:r>
          <w:rPr>
            <w:color w:val="185F7D"/>
          </w:rPr>
          <w:t>Открыть источник</w:t>
        </w:r>
      </w:hyperlink>
    </w:p>
    <w:p>
      <w:pPr>
        <w:pStyle w:val="Heading3"/>
      </w:pPr>
      <w:bookmarkStart w:id="60" w:name="src_Q03_F102"/>
      <w:bookmarkEnd w:id="60"/>
      <w:r>
        <w:t>Q03-F102  1_ВД 142000119441 350882243.pdf</w:t>
      </w:r>
    </w:p>
    <w:p>
      <w:pPr>
        <w:keepNext/>
        <w:spacing w:after="60"/>
      </w:pPr>
      <w:r>
        <w:rPr>
          <w:sz w:val="18"/>
        </w:rPr>
        <w:t>Газпром переработка / ГСП Ремонт; копия из Бикотендера. Период: Документы сентябрь 2026; работы 2027. Раздел: Документ полностью; страниц 5. Статус: Изучены титул и состав по OCR; числовые объемы в выводах не использованы.</w:t>
      </w:r>
    </w:p>
    <w:p>
      <w:pPr>
        <w:keepNext/>
        <w:spacing w:after="60"/>
      </w:pPr>
      <w:r>
        <w:rPr>
          <w:sz w:val="19"/>
        </w:rPr>
        <w:t>Состав, объекты, сроки, условия либо деловые контакты закупки Q03.</w:t>
      </w:r>
    </w:p>
    <w:p>
      <w:pPr>
        <w:spacing w:after="160"/>
      </w:pPr>
      <w:hyperlink r:id="rId93">
        <w:r>
          <w:rPr>
            <w:color w:val="185F7D"/>
          </w:rPr>
          <w:t>Открыть источник</w:t>
        </w:r>
      </w:hyperlink>
    </w:p>
    <w:p>
      <w:pPr>
        <w:pStyle w:val="Heading3"/>
      </w:pPr>
      <w:bookmarkStart w:id="61" w:name="src_Q03_F114"/>
      <w:bookmarkEnd w:id="61"/>
      <w:r>
        <w:t>Q03-F114  Документация о закупке.DOCX</w:t>
      </w:r>
    </w:p>
    <w:p>
      <w:pPr>
        <w:keepNext/>
        <w:spacing w:after="60"/>
      </w:pPr>
      <w:r>
        <w:rPr>
          <w:sz w:val="18"/>
        </w:rPr>
        <w:t>Газпром переработка / ГСП Ремонт; копия из Бикотендера. Период: Документы сентябрь 2026; работы 2027. Раздел: Документ полностью; таблицы/разделы. Статус: Прочитан извлеченный текст.</w:t>
      </w:r>
    </w:p>
    <w:p>
      <w:pPr>
        <w:keepNext/>
        <w:spacing w:after="60"/>
      </w:pPr>
      <w:r>
        <w:rPr>
          <w:sz w:val="19"/>
        </w:rPr>
        <w:t>Состав, объекты, сроки, условия либо деловые контакты закупки Q03.</w:t>
      </w:r>
    </w:p>
    <w:p>
      <w:pPr>
        <w:spacing w:after="160"/>
      </w:pPr>
      <w:hyperlink r:id="rId93">
        <w:r>
          <w:rPr>
            <w:color w:val="185F7D"/>
          </w:rPr>
          <w:t>Открыть источник</w:t>
        </w:r>
      </w:hyperlink>
    </w:p>
    <w:p>
      <w:pPr>
        <w:pStyle w:val="Heading3"/>
      </w:pPr>
      <w:bookmarkStart w:id="62" w:name="src_Q03_F127"/>
      <w:bookmarkEnd w:id="62"/>
      <w:r>
        <w:t>Q03-F127  5_Контактный_лист_заказчика.docx</w:t>
      </w:r>
    </w:p>
    <w:p>
      <w:pPr>
        <w:keepNext/>
        <w:spacing w:after="60"/>
      </w:pPr>
      <w:r>
        <w:rPr>
          <w:sz w:val="18"/>
        </w:rPr>
        <w:t>Газпром переработка / ГСП Ремонт; копия из Бикотендера. Период: Документы сентябрь 2026; работы 2027. Раздел: Документ полностью; таблицы/разделы. Статус: Прочитан извлеченный текст.</w:t>
      </w:r>
    </w:p>
    <w:p>
      <w:pPr>
        <w:keepNext/>
        <w:spacing w:after="60"/>
      </w:pPr>
      <w:r>
        <w:rPr>
          <w:sz w:val="19"/>
        </w:rPr>
        <w:t>Состав, объекты, сроки, условия либо деловые контакты закупки Q03.</w:t>
      </w:r>
    </w:p>
    <w:p>
      <w:pPr>
        <w:spacing w:after="160"/>
      </w:pPr>
      <w:hyperlink r:id="rId93">
        <w:r>
          <w:rPr>
            <w:color w:val="185F7D"/>
          </w:rPr>
          <w:t>Открыть источник</w:t>
        </w:r>
      </w:hyperlink>
    </w:p>
    <w:p>
      <w:pPr>
        <w:pStyle w:val="Heading3"/>
      </w:pPr>
      <w:bookmarkStart w:id="63" w:name="src_Q04_F002"/>
      <w:bookmarkEnd w:id="63"/>
      <w:r>
        <w:t>Q04-F002  Документация о закупке.DOCX</w:t>
      </w:r>
    </w:p>
    <w:p>
      <w:pPr>
        <w:keepNext/>
        <w:spacing w:after="60"/>
      </w:pPr>
      <w:r>
        <w:rPr>
          <w:sz w:val="18"/>
        </w:rPr>
        <w:t>Газпром переработка / ГСП Ремонт; копия из Бикотендера. Период: Документы сентябрь 2026; работы 2027. Раздел: Документ полностью; таблицы/разделы. Статус: Прочитан извлеченный текст.</w:t>
      </w:r>
    </w:p>
    <w:p>
      <w:pPr>
        <w:keepNext/>
        <w:spacing w:after="60"/>
      </w:pPr>
      <w:r>
        <w:rPr>
          <w:sz w:val="19"/>
        </w:rPr>
        <w:t>Состав, объекты, сроки, условия либо деловые контакты закупки Q04.</w:t>
      </w:r>
    </w:p>
    <w:p>
      <w:pPr>
        <w:spacing w:after="160"/>
      </w:pPr>
      <w:hyperlink r:id="rId105">
        <w:r>
          <w:rPr>
            <w:color w:val="185F7D"/>
          </w:rPr>
          <w:t>Открыть источник</w:t>
        </w:r>
      </w:hyperlink>
    </w:p>
    <w:p>
      <w:pPr>
        <w:pStyle w:val="Heading3"/>
      </w:pPr>
      <w:bookmarkStart w:id="64" w:name="src_Q04_F014"/>
      <w:bookmarkEnd w:id="64"/>
      <w:r>
        <w:t>Q04-F014  Контактный_лист_заказчика..xlsx</w:t>
      </w:r>
    </w:p>
    <w:p>
      <w:pPr>
        <w:keepNext/>
        <w:spacing w:after="60"/>
      </w:pPr>
      <w:r>
        <w:rPr>
          <w:sz w:val="18"/>
        </w:rPr>
        <w:t>Газпром переработка / ГСП Ремонт; копия из Бикотендера. Период: Документы сентябрь 2026; работы 2027. Раздел: Документ полностью; таблицы/разделы. Статус: Прочитан извлеченный текст.</w:t>
      </w:r>
    </w:p>
    <w:p>
      <w:pPr>
        <w:keepNext/>
        <w:spacing w:after="60"/>
      </w:pPr>
      <w:r>
        <w:rPr>
          <w:sz w:val="19"/>
        </w:rPr>
        <w:t>Состав, объекты, сроки, условия либо деловые контакты закупки Q04.</w:t>
      </w:r>
    </w:p>
    <w:p>
      <w:pPr>
        <w:spacing w:after="160"/>
      </w:pPr>
      <w:hyperlink r:id="rId105">
        <w:r>
          <w:rPr>
            <w:color w:val="185F7D"/>
          </w:rPr>
          <w:t>Открыть источник</w:t>
        </w:r>
      </w:hyperlink>
    </w:p>
    <w:p>
      <w:pPr>
        <w:pStyle w:val="Heading3"/>
      </w:pPr>
      <w:bookmarkStart w:id="65" w:name="src_Q04_F019"/>
      <w:bookmarkEnd w:id="65"/>
      <w:r>
        <w:t>Q04-F019  Прил № 1 ТЗ.xlsx</w:t>
      </w:r>
    </w:p>
    <w:p>
      <w:pPr>
        <w:keepNext/>
        <w:spacing w:after="60"/>
      </w:pPr>
      <w:r>
        <w:rPr>
          <w:sz w:val="18"/>
        </w:rPr>
        <w:t>Газпром переработка / ГСП Ремонт; копия из Бикотендера. Период: Документы сентябрь 2026; работы 2027. Раздел: Документ полностью; таблицы/разделы. Статус: Прочитан извлеченный текст.</w:t>
      </w:r>
    </w:p>
    <w:p>
      <w:pPr>
        <w:keepNext/>
        <w:spacing w:after="60"/>
      </w:pPr>
      <w:r>
        <w:rPr>
          <w:sz w:val="19"/>
        </w:rPr>
        <w:t>Состав, объекты, сроки, условия либо деловые контакты закупки Q04.</w:t>
      </w:r>
    </w:p>
    <w:p>
      <w:pPr>
        <w:spacing w:after="160"/>
      </w:pPr>
      <w:hyperlink r:id="rId105">
        <w:r>
          <w:rPr>
            <w:color w:val="185F7D"/>
          </w:rPr>
          <w:t>Открыть источник</w:t>
        </w:r>
      </w:hyperlink>
    </w:p>
    <w:p>
      <w:pPr>
        <w:pStyle w:val="Heading3"/>
      </w:pPr>
      <w:bookmarkStart w:id="66" w:name="src_Q04_F024"/>
      <w:bookmarkEnd w:id="66"/>
      <w:r>
        <w:t>Q04-F024  113850.pdf</w:t>
      </w:r>
    </w:p>
    <w:p>
      <w:pPr>
        <w:keepNext/>
        <w:spacing w:after="60"/>
      </w:pPr>
      <w:r>
        <w:rPr>
          <w:sz w:val="18"/>
        </w:rPr>
        <w:t>Газпром переработка / ГСП Ремонт; копия из Бикотендера. Период: Документы сентябрь 2026; работы 2027. Раздел: Документ полностью; страниц 2. Статус: Текст/OCR прочитан; ключевые страницы визуально проверены.</w:t>
      </w:r>
    </w:p>
    <w:p>
      <w:pPr>
        <w:keepNext/>
        <w:spacing w:after="60"/>
      </w:pPr>
      <w:r>
        <w:rPr>
          <w:sz w:val="19"/>
        </w:rPr>
        <w:t>Ресурсная ведомость ИТП цеха КИПиА: ремонт водоснабжения; не подтверждение обогрева шкафов.</w:t>
      </w:r>
    </w:p>
    <w:p>
      <w:pPr>
        <w:spacing w:after="160"/>
      </w:pPr>
      <w:hyperlink r:id="rId105">
        <w:r>
          <w:rPr>
            <w:color w:val="185F7D"/>
          </w:rPr>
          <w:t>Открыть источник</w:t>
        </w:r>
      </w:hyperlink>
    </w:p>
    <w:p>
      <w:pPr>
        <w:pStyle w:val="Heading3"/>
      </w:pPr>
      <w:bookmarkStart w:id="67" w:name="src_Q04_F027"/>
      <w:bookmarkEnd w:id="67"/>
      <w:r>
        <w:t>Q04-F027  1_ВД 142000113944.pdf</w:t>
      </w:r>
    </w:p>
    <w:p>
      <w:pPr>
        <w:keepNext/>
        <w:spacing w:after="60"/>
      </w:pPr>
      <w:r>
        <w:rPr>
          <w:sz w:val="18"/>
        </w:rPr>
        <w:t>Газпром переработка / ГСП Ремонт; копия из Бикотендера. Период: Документы сентябрь 2026; работы 2027. Раздел: Документ полностью; страниц 2. Статус: OCR прочитан; выборочная визуальная проверка.</w:t>
      </w:r>
    </w:p>
    <w:p>
      <w:pPr>
        <w:keepNext/>
        <w:spacing w:after="60"/>
      </w:pPr>
      <w:r>
        <w:rPr>
          <w:sz w:val="19"/>
        </w:rPr>
        <w:t>Состав, объекты, сроки, условия либо деловые контакты закупки Q04.</w:t>
      </w:r>
    </w:p>
    <w:p>
      <w:pPr>
        <w:spacing w:after="160"/>
      </w:pPr>
      <w:hyperlink r:id="rId105">
        <w:r>
          <w:rPr>
            <w:color w:val="185F7D"/>
          </w:rPr>
          <w:t>Открыть источник</w:t>
        </w:r>
      </w:hyperlink>
    </w:p>
    <w:p>
      <w:pPr>
        <w:pStyle w:val="Heading3"/>
      </w:pPr>
      <w:bookmarkStart w:id="68" w:name="src_Q04_F028"/>
      <w:bookmarkEnd w:id="68"/>
      <w:r>
        <w:t>Q04-F028  1_ВД 142000113945.pdf</w:t>
      </w:r>
    </w:p>
    <w:p>
      <w:pPr>
        <w:keepNext/>
        <w:spacing w:after="60"/>
      </w:pPr>
      <w:r>
        <w:rPr>
          <w:sz w:val="18"/>
        </w:rPr>
        <w:t>Газпром переработка / ГСП Ремонт; копия из Бикотендера. Период: Документы сентябрь 2026; работы 2027. Раздел: Документ полностью; страниц 1. Статус: OCR прочитан; выборочная визуальная проверка.</w:t>
      </w:r>
    </w:p>
    <w:p>
      <w:pPr>
        <w:keepNext/>
        <w:spacing w:after="60"/>
      </w:pPr>
      <w:r>
        <w:rPr>
          <w:sz w:val="19"/>
        </w:rPr>
        <w:t>Состав, объекты, сроки, условия либо деловые контакты закупки Q04.</w:t>
      </w:r>
    </w:p>
    <w:p>
      <w:pPr>
        <w:spacing w:after="160"/>
      </w:pPr>
      <w:hyperlink r:id="rId105">
        <w:r>
          <w:rPr>
            <w:color w:val="185F7D"/>
          </w:rPr>
          <w:t>Открыть источник</w:t>
        </w:r>
      </w:hyperlink>
    </w:p>
    <w:p>
      <w:pPr>
        <w:pStyle w:val="Heading3"/>
      </w:pPr>
      <w:bookmarkStart w:id="69" w:name="src_Q04_F030"/>
      <w:bookmarkEnd w:id="69"/>
      <w:r>
        <w:t>Q04-F030  2_ВД 142000111162.pdf</w:t>
      </w:r>
    </w:p>
    <w:p>
      <w:pPr>
        <w:keepNext/>
        <w:spacing w:after="60"/>
      </w:pPr>
      <w:r>
        <w:rPr>
          <w:sz w:val="18"/>
        </w:rPr>
        <w:t>Газпром переработка / ГСП Ремонт; копия из Бикотендера. Период: Документы сентябрь 2026; работы 2027. Раздел: Документ полностью; страниц 3. Статус: Текст/OCR прочитан; ключевые страницы визуально проверены.</w:t>
      </w:r>
    </w:p>
    <w:p>
      <w:pPr>
        <w:keepNext/>
        <w:spacing w:after="60"/>
      </w:pPr>
      <w:r>
        <w:rPr>
          <w:sz w:val="19"/>
        </w:rPr>
        <w:t>ВД 142000111162 относится к Астраханскому ГПЗ; исключена из объёмов ОГПЗ.</w:t>
      </w:r>
    </w:p>
    <w:p>
      <w:pPr>
        <w:spacing w:after="160"/>
      </w:pPr>
      <w:hyperlink r:id="rId105">
        <w:r>
          <w:rPr>
            <w:color w:val="185F7D"/>
          </w:rPr>
          <w:t>Открыть источник</w:t>
        </w:r>
      </w:hyperlink>
    </w:p>
    <w:p>
      <w:pPr>
        <w:pStyle w:val="Heading3"/>
      </w:pPr>
      <w:bookmarkStart w:id="70" w:name="src_Q04_F031"/>
      <w:bookmarkEnd w:id="70"/>
      <w:r>
        <w:t>Q04-F031  2_ВД 142000111533.pdf</w:t>
      </w:r>
    </w:p>
    <w:p>
      <w:pPr>
        <w:keepNext/>
        <w:spacing w:after="60"/>
      </w:pPr>
      <w:r>
        <w:rPr>
          <w:sz w:val="18"/>
        </w:rPr>
        <w:t>Газпром переработка / ГСП Ремонт; копия из Бикотендера. Период: Документы сентябрь 2026; работы 2027. Раздел: Документ полностью; страниц 2. Статус: OCR прочитан; выборочная визуальная проверка.</w:t>
      </w:r>
    </w:p>
    <w:p>
      <w:pPr>
        <w:keepNext/>
        <w:spacing w:after="60"/>
      </w:pPr>
      <w:r>
        <w:rPr>
          <w:sz w:val="19"/>
        </w:rPr>
        <w:t>Состав, объекты, сроки, условия либо деловые контакты закупки Q04.</w:t>
      </w:r>
    </w:p>
    <w:p>
      <w:pPr>
        <w:spacing w:after="160"/>
      </w:pPr>
      <w:hyperlink r:id="rId105">
        <w:r>
          <w:rPr>
            <w:color w:val="185F7D"/>
          </w:rPr>
          <w:t>Открыть источник</w:t>
        </w:r>
      </w:hyperlink>
    </w:p>
    <w:p>
      <w:pPr>
        <w:pStyle w:val="Heading3"/>
      </w:pPr>
      <w:bookmarkStart w:id="71" w:name="src_Q04_F032"/>
      <w:bookmarkEnd w:id="71"/>
      <w:r>
        <w:t>Q04-F032  2_ВД 142000114348.pdf</w:t>
      </w:r>
    </w:p>
    <w:p>
      <w:pPr>
        <w:keepNext/>
        <w:spacing w:after="60"/>
      </w:pPr>
      <w:r>
        <w:rPr>
          <w:sz w:val="18"/>
        </w:rPr>
        <w:t>Газпром переработка / ГСП Ремонт; копия из Бикотендера. Период: Документы сентябрь 2026; работы 2027. Раздел: Документ полностью; страниц 4. Статус: Текст/OCR прочитан; ключевые страницы визуально проверены.</w:t>
      </w:r>
    </w:p>
    <w:p>
      <w:pPr>
        <w:keepNext/>
        <w:spacing w:after="60"/>
      </w:pPr>
      <w:r>
        <w:rPr>
          <w:sz w:val="19"/>
        </w:rPr>
        <w:t>ВД 142000114348: 10,41 × 100 м² покрытия; 56,64 м³ изоляции; расхождение длин/диаметров между операциями.</w:t>
      </w:r>
    </w:p>
    <w:p>
      <w:pPr>
        <w:spacing w:after="160"/>
      </w:pPr>
      <w:hyperlink r:id="rId105">
        <w:r>
          <w:rPr>
            <w:color w:val="185F7D"/>
          </w:rPr>
          <w:t>Открыть источник</w:t>
        </w:r>
      </w:hyperlink>
    </w:p>
    <w:p>
      <w:pPr>
        <w:pStyle w:val="Heading3"/>
      </w:pPr>
      <w:bookmarkStart w:id="72" w:name="src_Q04_F033"/>
      <w:bookmarkEnd w:id="72"/>
      <w:r>
        <w:t>Q04-F033  2_ВД 142000114353.pdf</w:t>
      </w:r>
    </w:p>
    <w:p>
      <w:pPr>
        <w:keepNext/>
        <w:spacing w:after="60"/>
      </w:pPr>
      <w:r>
        <w:rPr>
          <w:sz w:val="18"/>
        </w:rPr>
        <w:t>Газпром переработка / ГСП Ремонт; копия из Бикотендера. Период: Документы сентябрь 2026; работы 2027. Раздел: Документ полностью; страниц 2. Статус: OCR прочитан; выборочная визуальная проверка.</w:t>
      </w:r>
    </w:p>
    <w:p>
      <w:pPr>
        <w:keepNext/>
        <w:spacing w:after="60"/>
      </w:pPr>
      <w:r>
        <w:rPr>
          <w:sz w:val="19"/>
        </w:rPr>
        <w:t>Состав, объекты, сроки, условия либо деловые контакты закупки Q04.</w:t>
      </w:r>
    </w:p>
    <w:p>
      <w:pPr>
        <w:spacing w:after="160"/>
      </w:pPr>
      <w:hyperlink r:id="rId105">
        <w:r>
          <w:rPr>
            <w:color w:val="185F7D"/>
          </w:rPr>
          <w:t>Открыть источник</w:t>
        </w:r>
      </w:hyperlink>
    </w:p>
    <w:p>
      <w:pPr>
        <w:pStyle w:val="Heading3"/>
      </w:pPr>
      <w:bookmarkStart w:id="73" w:name="src_Q04_F044"/>
      <w:bookmarkEnd w:id="73"/>
      <w:r>
        <w:t>Q04-F044  ТЗ.docx</w:t>
      </w:r>
    </w:p>
    <w:p>
      <w:pPr>
        <w:keepNext/>
        <w:spacing w:after="60"/>
      </w:pPr>
      <w:r>
        <w:rPr>
          <w:sz w:val="18"/>
        </w:rPr>
        <w:t>Газпром переработка / ГСП Ремонт; копия из Бикотендера. Период: Документы сентябрь 2026; работы 2027. Раздел: Документ полностью; таблицы/разделы. Статус: Прочитан извлеченный текст.</w:t>
      </w:r>
    </w:p>
    <w:p>
      <w:pPr>
        <w:keepNext/>
        <w:spacing w:after="60"/>
      </w:pPr>
      <w:r>
        <w:rPr>
          <w:sz w:val="19"/>
        </w:rPr>
        <w:t>Состав, объекты, сроки, условия либо деловые контакты закупки Q04.</w:t>
      </w:r>
    </w:p>
    <w:p>
      <w:pPr>
        <w:spacing w:after="160"/>
      </w:pPr>
      <w:hyperlink r:id="rId105">
        <w:r>
          <w:rPr>
            <w:color w:val="185F7D"/>
          </w:rPr>
          <w:t>Открыть источник</w:t>
        </w:r>
      </w:hyperlink>
    </w:p>
    <w:p>
      <w:pPr>
        <w:pStyle w:val="Heading3"/>
      </w:pPr>
      <w:bookmarkStart w:id="74" w:name="src_Q04_CONTRACT"/>
      <w:bookmarkEnd w:id="74"/>
      <w:r>
        <w:t>Q04-CONTRACT  _Типовой Договор Суб. 2027_КР_Т_ с БС на конк.основе.docx</w:t>
      </w:r>
    </w:p>
    <w:p>
      <w:pPr>
        <w:keepNext/>
        <w:spacing w:after="60"/>
      </w:pPr>
      <w:r>
        <w:rPr>
          <w:sz w:val="18"/>
        </w:rPr>
        <w:t>ГСП Ремонт. Период: 2026 / работы 2027. Раздел: п. 5.8, 8.22, 9; определения. Статус: Прочитаны указанные разделы.</w:t>
      </w:r>
    </w:p>
    <w:p>
      <w:pPr>
        <w:keepNext/>
        <w:spacing w:after="60"/>
      </w:pPr>
      <w:r>
        <w:rPr>
          <w:sz w:val="19"/>
        </w:rPr>
        <w:t>Банковское сопровождение, условный аванс, оплата после средств заказчика, согласование исполнителя.</w:t>
      </w:r>
    </w:p>
    <w:p>
      <w:pPr>
        <w:spacing w:after="160"/>
      </w:pPr>
      <w:hyperlink r:id="rId105">
        <w:r>
          <w:rPr>
            <w:color w:val="185F7D"/>
          </w:rPr>
          <w:t>Открыть источник</w:t>
        </w:r>
      </w:hyperlink>
    </w:p>
    <w:p>
      <w:pPr>
        <w:pStyle w:val="Heading3"/>
      </w:pPr>
      <w:bookmarkStart w:id="75" w:name="src_Q01_INFO"/>
      <w:bookmarkEnd w:id="75"/>
      <w:r>
        <w:t>Q01-INFO  Документация о закупке.DOCX</w:t>
      </w:r>
    </w:p>
    <w:p>
      <w:pPr>
        <w:keepNext/>
        <w:spacing w:after="60"/>
      </w:pPr>
      <w:r>
        <w:rPr>
          <w:sz w:val="18"/>
        </w:rPr>
        <w:t>ГСП Ремонт. Период: Июль 2026. Раздел: Информационная карта. Статус: Прочитаны указанные разделы.</w:t>
      </w:r>
    </w:p>
    <w:p>
      <w:pPr>
        <w:keepNext/>
        <w:spacing w:after="60"/>
      </w:pPr>
      <w:r>
        <w:rPr>
          <w:sz w:val="19"/>
        </w:rPr>
        <w:t>НМЦ 133094591,49 руб.; НДС 22%; альтернативы не допускаются.</w:t>
      </w:r>
    </w:p>
    <w:p>
      <w:pPr>
        <w:spacing w:after="160"/>
      </w:pPr>
      <w:hyperlink r:id="rId71">
        <w:r>
          <w:rPr>
            <w:color w:val="185F7D"/>
          </w:rPr>
          <w:t>Открыть источник</w:t>
        </w:r>
      </w:hyperlink>
    </w:p>
    <w:p>
      <w:pPr>
        <w:pStyle w:val="Heading3"/>
      </w:pPr>
      <w:bookmarkStart w:id="76" w:name="src_Q01"/>
      <w:bookmarkEnd w:id="76"/>
      <w:r>
        <w:t>Q01  Карточка закупки 336800778</w:t>
      </w:r>
    </w:p>
    <w:p>
      <w:pPr>
        <w:keepNext/>
        <w:spacing w:after="60"/>
      </w:pPr>
      <w:r>
        <w:rPr>
          <w:sz w:val="18"/>
        </w:rPr>
        <w:t>Бикотендер / источник ЭТП ГПБ. Период: 13.07.2026; исходный срок 20.07, вторичный обновленный 21.07; работы до 06.09.2026. Раздел: Описание, сроки, документы. Статус: Карточка прочитана; приложения — см. отдельные ID.</w:t>
      </w:r>
    </w:p>
    <w:p>
      <w:pPr>
        <w:keepNext/>
        <w:spacing w:after="60"/>
      </w:pPr>
      <w:r>
        <w:rPr>
          <w:sz w:val="19"/>
        </w:rPr>
        <w:t>Реквизиты процедуры; состав подтверждается отдельными источниками Q01-F002; Q01-F007; Q01-INFO.</w:t>
      </w:r>
    </w:p>
    <w:p>
      <w:pPr>
        <w:spacing w:after="160"/>
      </w:pPr>
      <w:hyperlink r:id="rId71">
        <w:r>
          <w:rPr>
            <w:color w:val="185F7D"/>
          </w:rPr>
          <w:t>Открыть источник</w:t>
        </w:r>
      </w:hyperlink>
    </w:p>
    <w:p>
      <w:pPr>
        <w:pStyle w:val="Heading3"/>
      </w:pPr>
      <w:bookmarkStart w:id="77" w:name="src_Q02"/>
      <w:bookmarkEnd w:id="77"/>
      <w:r>
        <w:t>Q02  Карточка закупки 337846084</w:t>
      </w:r>
    </w:p>
    <w:p>
      <w:pPr>
        <w:keepNext/>
        <w:spacing w:after="60"/>
      </w:pPr>
      <w:r>
        <w:rPr>
          <w:sz w:val="18"/>
        </w:rPr>
        <w:t>Бикотендер / источник ЭТП ГПБ. Период: 29.07–03.08.2026; работы до 31.12.2026. Раздел: Описание, сроки, документы. Статус: Карточка прочитана; приложения — см. отдельные ID.</w:t>
      </w:r>
    </w:p>
    <w:p>
      <w:pPr>
        <w:keepNext/>
        <w:spacing w:after="60"/>
      </w:pPr>
      <w:r>
        <w:rPr>
          <w:sz w:val="19"/>
        </w:rPr>
        <w:t>Реквизиты процедуры; состав подтверждается отдельными источниками Q02-F046; Q02-F048; Q02-F063.</w:t>
      </w:r>
    </w:p>
    <w:p>
      <w:pPr>
        <w:spacing w:after="160"/>
      </w:pPr>
      <w:hyperlink r:id="rId84">
        <w:r>
          <w:rPr>
            <w:color w:val="185F7D"/>
          </w:rPr>
          <w:t>Открыть источник</w:t>
        </w:r>
      </w:hyperlink>
    </w:p>
    <w:p>
      <w:pPr>
        <w:pStyle w:val="Heading3"/>
      </w:pPr>
      <w:bookmarkStart w:id="78" w:name="src_Q03"/>
      <w:bookmarkEnd w:id="78"/>
      <w:r>
        <w:t>Q03  Карточка закупки 340213551</w:t>
      </w:r>
    </w:p>
    <w:p>
      <w:pPr>
        <w:keepNext/>
        <w:spacing w:after="60"/>
      </w:pPr>
      <w:r>
        <w:rPr>
          <w:sz w:val="18"/>
        </w:rPr>
        <w:t>Бикотендер / источник ЭТП ГПБ. Период: 07.09–14.09.2026; вторичный срок 15.09; работы 03–10.2027. Раздел: Описание, сроки, документы. Статус: Карточка прочитана; приложения — см. отдельные ID.</w:t>
      </w:r>
    </w:p>
    <w:p>
      <w:pPr>
        <w:keepNext/>
        <w:spacing w:after="60"/>
      </w:pPr>
      <w:r>
        <w:rPr>
          <w:sz w:val="19"/>
        </w:rPr>
        <w:t>Реквизиты процедуры; состав подтверждается отдельными источниками Q03-F048; Q03-F114; Q03-F057.</w:t>
      </w:r>
    </w:p>
    <w:p>
      <w:pPr>
        <w:spacing w:after="160"/>
      </w:pPr>
      <w:hyperlink r:id="rId93">
        <w:r>
          <w:rPr>
            <w:color w:val="185F7D"/>
          </w:rPr>
          <w:t>Открыть источник</w:t>
        </w:r>
      </w:hyperlink>
    </w:p>
    <w:p>
      <w:pPr>
        <w:pStyle w:val="Heading3"/>
      </w:pPr>
      <w:bookmarkStart w:id="79" w:name="src_Q04"/>
      <w:bookmarkEnd w:id="79"/>
      <w:r>
        <w:t>Q04  Карточка закупки 340751500</w:t>
      </w:r>
    </w:p>
    <w:p>
      <w:pPr>
        <w:keepNext/>
        <w:spacing w:after="60"/>
      </w:pPr>
      <w:r>
        <w:rPr>
          <w:sz w:val="18"/>
        </w:rPr>
        <w:t>Бикотендер / источник ЭТП ГПБ. Период: 15.09–18.09.2026; вторичный срок 21.09; работы 01–10.2027. Раздел: Описание, сроки, документы. Статус: Карточка прочитана; приложения — см. отдельные ID.</w:t>
      </w:r>
    </w:p>
    <w:p>
      <w:pPr>
        <w:keepNext/>
        <w:spacing w:after="60"/>
      </w:pPr>
      <w:r>
        <w:rPr>
          <w:sz w:val="19"/>
        </w:rPr>
        <w:t>Реквизиты процедуры; состав подтверждается отдельными источниками Q04-F002; Q04-F019; Q04-F032; Q04-CONTRACT.</w:t>
      </w:r>
    </w:p>
    <w:p>
      <w:pPr>
        <w:spacing w:after="160"/>
      </w:pPr>
      <w:hyperlink r:id="rId105">
        <w:r>
          <w:rPr>
            <w:color w:val="185F7D"/>
          </w:rPr>
          <w:t>Открыть источник</w:t>
        </w:r>
      </w:hyperlink>
    </w:p>
    <w:p>
      <w:pPr>
        <w:pStyle w:val="Heading3"/>
      </w:pPr>
      <w:bookmarkStart w:id="80" w:name="src_Q05"/>
      <w:bookmarkEnd w:id="80"/>
      <w:r>
        <w:t>Q05  Карточка закупки 335921513</w:t>
      </w:r>
    </w:p>
    <w:p>
      <w:pPr>
        <w:keepNext/>
        <w:spacing w:after="60"/>
      </w:pPr>
      <w:r>
        <w:rPr>
          <w:sz w:val="18"/>
        </w:rPr>
        <w:t>Бикотендер / источник ЭТП ГПБ. Период: 26.06–07.07.2026; протокол опубликован 16.07. Раздел: Описание, сроки, документы. Статус: Прочитана карточка; первичные вложения не прочитаны.</w:t>
      </w:r>
    </w:p>
    <w:p>
      <w:pPr>
        <w:keepNext/>
        <w:spacing w:after="60"/>
      </w:pPr>
      <w:r>
        <w:rPr>
          <w:sz w:val="19"/>
        </w:rPr>
        <w:t>Описание и реквизиты по карточке; состав работ по первичным приложениям не проверен.</w:t>
      </w:r>
    </w:p>
    <w:p>
      <w:pPr>
        <w:spacing w:after="160"/>
      </w:pPr>
      <w:hyperlink r:id="rId119">
        <w:r>
          <w:rPr>
            <w:color w:val="185F7D"/>
          </w:rPr>
          <w:t>Открыть источник</w:t>
        </w:r>
      </w:hyperlink>
    </w:p>
    <w:p>
      <w:pPr>
        <w:pStyle w:val="Heading3"/>
      </w:pPr>
      <w:bookmarkStart w:id="81" w:name="src_Q06"/>
      <w:bookmarkEnd w:id="81"/>
      <w:r>
        <w:t>Q06  Карточка закупки 340754650</w:t>
      </w:r>
    </w:p>
    <w:p>
      <w:pPr>
        <w:keepNext/>
        <w:spacing w:after="60"/>
      </w:pPr>
      <w:r>
        <w:rPr>
          <w:sz w:val="18"/>
        </w:rPr>
        <w:t>Бикотендер / источник ЭТП ГПБ. Период: Сентябрь 2026 / обслуживание 2027. Раздел: Описание, сроки, документы. Статус: Прочитана карточка; первичные вложения не прочитаны.</w:t>
      </w:r>
    </w:p>
    <w:p>
      <w:pPr>
        <w:keepNext/>
        <w:spacing w:after="60"/>
      </w:pPr>
      <w:r>
        <w:rPr>
          <w:sz w:val="19"/>
        </w:rPr>
        <w:t>Описание и реквизиты по карточке; состав работ по первичным приложениям не проверен.</w:t>
      </w:r>
    </w:p>
    <w:p>
      <w:pPr>
        <w:spacing w:after="160"/>
      </w:pPr>
      <w:hyperlink r:id="rId120">
        <w:r>
          <w:rPr>
            <w:color w:val="185F7D"/>
          </w:rPr>
          <w:t>Открыть источник</w:t>
        </w:r>
      </w:hyperlink>
    </w:p>
    <w:p>
      <w:pPr>
        <w:pStyle w:val="Heading3"/>
      </w:pPr>
      <w:bookmarkStart w:id="82" w:name="src_Q07"/>
      <w:bookmarkEnd w:id="82"/>
      <w:r>
        <w:t>Q07  Карточка закупки 340754630</w:t>
      </w:r>
    </w:p>
    <w:p>
      <w:pPr>
        <w:keepNext/>
        <w:spacing w:after="60"/>
      </w:pPr>
      <w:r>
        <w:rPr>
          <w:sz w:val="18"/>
        </w:rPr>
        <w:t>Бикотендер / источник ЭТП ГПБ. Период: Сентябрь 2026 / обслуживание 2027. Раздел: Описание, сроки, документы. Статус: Прочитана карточка; первичные вложения не прочитаны.</w:t>
      </w:r>
    </w:p>
    <w:p>
      <w:pPr>
        <w:keepNext/>
        <w:spacing w:after="60"/>
      </w:pPr>
      <w:r>
        <w:rPr>
          <w:sz w:val="19"/>
        </w:rPr>
        <w:t>Описание и реквизиты по карточке; состав работ по первичным приложениям не проверен.</w:t>
      </w:r>
    </w:p>
    <w:p>
      <w:pPr>
        <w:spacing w:after="160"/>
      </w:pPr>
      <w:hyperlink r:id="rId121">
        <w:r>
          <w:rPr>
            <w:color w:val="185F7D"/>
          </w:rPr>
          <w:t>Открыть источник</w:t>
        </w:r>
      </w:hyperlink>
    </w:p>
    <w:p>
      <w:pPr>
        <w:pStyle w:val="Heading3"/>
      </w:pPr>
      <w:bookmarkStart w:id="83" w:name="src_Q08"/>
      <w:bookmarkEnd w:id="83"/>
      <w:r>
        <w:t>Q08  Карточка закупки 340218008</w:t>
      </w:r>
    </w:p>
    <w:p>
      <w:pPr>
        <w:keepNext/>
        <w:spacing w:after="60"/>
      </w:pPr>
      <w:r>
        <w:rPr>
          <w:sz w:val="18"/>
        </w:rPr>
        <w:t>Бикотендер / источник ЭТП ГПБ. Период: Сентябрь 2026 / работы 2027. Раздел: Описание, сроки, документы. Статус: Прочитана карточка; первичные вложения не прочитаны.</w:t>
      </w:r>
    </w:p>
    <w:p>
      <w:pPr>
        <w:keepNext/>
        <w:spacing w:after="60"/>
      </w:pPr>
      <w:r>
        <w:rPr>
          <w:sz w:val="19"/>
        </w:rPr>
        <w:t>Описание и реквизиты по карточке; состав работ по первичным приложениям не проверен.</w:t>
      </w:r>
    </w:p>
    <w:p>
      <w:pPr>
        <w:spacing w:after="160"/>
      </w:pPr>
      <w:hyperlink r:id="rId122">
        <w:r>
          <w:rPr>
            <w:color w:val="185F7D"/>
          </w:rPr>
          <w:t>Открыть источник</w:t>
        </w:r>
      </w:hyperlink>
    </w:p>
    <w:p>
      <w:pPr>
        <w:pStyle w:val="Heading3"/>
      </w:pPr>
      <w:bookmarkStart w:id="84" w:name="src_Q09"/>
      <w:bookmarkEnd w:id="84"/>
      <w:r>
        <w:t>Q09  Карточка закупки 336807580</w:t>
      </w:r>
    </w:p>
    <w:p>
      <w:pPr>
        <w:keepNext/>
        <w:spacing w:after="60"/>
      </w:pPr>
      <w:r>
        <w:rPr>
          <w:sz w:val="18"/>
        </w:rPr>
        <w:t>Бикотендер / источник ЭТП ГПБ. Период: 13.07.2026 / работы 2026. Раздел: Описание, сроки, документы. Статус: Прочитана карточка; первичные вложения не прочитаны.</w:t>
      </w:r>
    </w:p>
    <w:p>
      <w:pPr>
        <w:keepNext/>
        <w:spacing w:after="60"/>
      </w:pPr>
      <w:r>
        <w:rPr>
          <w:sz w:val="19"/>
        </w:rPr>
        <w:t>Описание и реквизиты по карточке; состав работ по первичным приложениям не проверен.</w:t>
      </w:r>
    </w:p>
    <w:p>
      <w:pPr>
        <w:spacing w:after="160"/>
      </w:pPr>
      <w:hyperlink r:id="rId123">
        <w:r>
          <w:rPr>
            <w:color w:val="185F7D"/>
          </w:rPr>
          <w:t>Открыть источник</w:t>
        </w:r>
      </w:hyperlink>
    </w:p>
    <w:p>
      <w:pPr>
        <w:pStyle w:val="Heading3"/>
      </w:pPr>
      <w:bookmarkStart w:id="85" w:name="src_Q10"/>
      <w:bookmarkEnd w:id="85"/>
      <w:r>
        <w:t>Q10  Карточка закупки 341494848</w:t>
      </w:r>
    </w:p>
    <w:p>
      <w:pPr>
        <w:keepNext/>
        <w:spacing w:after="60"/>
      </w:pPr>
      <w:r>
        <w:rPr>
          <w:sz w:val="18"/>
        </w:rPr>
        <w:t>Бикотендер / источник ЭТП ГПБ. Период: 25.09.2026; срок в Бико 13.10.2026 / работы 2027–2028. Раздел: Описание, сроки, документы. Статус: Прочитана карточка; первичные вложения не прочитаны.</w:t>
      </w:r>
    </w:p>
    <w:p>
      <w:pPr>
        <w:keepNext/>
        <w:spacing w:after="60"/>
      </w:pPr>
      <w:r>
        <w:rPr>
          <w:sz w:val="19"/>
        </w:rPr>
        <w:t>Описание и реквизиты по карточке; состав работ по первичным приложениям не проверен.</w:t>
      </w:r>
    </w:p>
    <w:p>
      <w:pPr>
        <w:spacing w:after="160"/>
      </w:pPr>
      <w:hyperlink r:id="rId124">
        <w:r>
          <w:rPr>
            <w:color w:val="185F7D"/>
          </w:rPr>
          <w:t>Открыть источник</w:t>
        </w:r>
      </w:hyperlink>
    </w:p>
    <w:p>
      <w:pPr>
        <w:pStyle w:val="Heading3"/>
      </w:pPr>
      <w:bookmarkStart w:id="86" w:name="src_Q11"/>
      <w:bookmarkEnd w:id="86"/>
      <w:r>
        <w:t>Q11  Карточка закупки 340110259</w:t>
      </w:r>
    </w:p>
    <w:p>
      <w:pPr>
        <w:keepNext/>
        <w:spacing w:after="60"/>
      </w:pPr>
      <w:r>
        <w:rPr>
          <w:sz w:val="18"/>
        </w:rPr>
        <w:t>Бикотендер / источник ЭТП ГПБ. Период: 04.09.2026 / заявлено 2027. Раздел: Описание, сроки, документы. Статус: Прочитана карточка; первичные вложения не прочитаны.</w:t>
      </w:r>
    </w:p>
    <w:p>
      <w:pPr>
        <w:keepNext/>
        <w:spacing w:after="60"/>
      </w:pPr>
      <w:r>
        <w:rPr>
          <w:sz w:val="19"/>
        </w:rPr>
        <w:t>Описание и реквизиты по карточке; состав работ по первичным приложениям не проверен.</w:t>
      </w:r>
    </w:p>
    <w:p>
      <w:pPr>
        <w:spacing w:after="160"/>
      </w:pPr>
      <w:hyperlink r:id="rId125">
        <w:r>
          <w:rPr>
            <w:color w:val="185F7D"/>
          </w:rPr>
          <w:t>Открыть источник</w:t>
        </w:r>
      </w:hyperlink>
    </w:p>
    <w:p>
      <w:pPr>
        <w:pStyle w:val="Heading3"/>
      </w:pPr>
      <w:bookmarkStart w:id="87" w:name="src_T_CANCEL"/>
      <w:bookmarkEnd w:id="87"/>
      <w:r>
        <w:t>T-CANCEL  АП123567 — статус отмены</w:t>
      </w:r>
    </w:p>
    <w:p>
      <w:pPr>
        <w:keepNext/>
        <w:spacing w:after="60"/>
      </w:pPr>
      <w:r>
        <w:rPr>
          <w:sz w:val="18"/>
        </w:rPr>
        <w:t>Energybase. Период: Сентябрь 2026. Раздел: Статус и перечень документов. Статус: Прочитан вторичный источник; первичный протокол не прочитан.</w:t>
      </w:r>
    </w:p>
    <w:p>
      <w:pPr>
        <w:keepNext/>
        <w:spacing w:after="60"/>
      </w:pPr>
      <w:r>
        <w:rPr>
          <w:sz w:val="19"/>
        </w:rPr>
        <w:t>Вторичная отметка об отмене; есть название извещения об отказе.</w:t>
      </w:r>
    </w:p>
    <w:p>
      <w:pPr>
        <w:spacing w:after="160"/>
      </w:pPr>
      <w:hyperlink r:id="rId126">
        <w:r>
          <w:rPr>
            <w:color w:val="185F7D"/>
          </w:rPr>
          <w:t>Открыть источник</w:t>
        </w:r>
      </w:hyperlink>
    </w:p>
    <w:p>
      <w:pPr>
        <w:pStyle w:val="Heading3"/>
      </w:pPr>
      <w:bookmarkStart w:id="88" w:name="src_Q05_SECOND"/>
      <w:bookmarkEnd w:id="88"/>
      <w:r>
        <w:t>Q05-SECOND  Карточка ПИР с сообщением о контракте</w:t>
      </w:r>
    </w:p>
    <w:p>
      <w:pPr>
        <w:keepNext/>
        <w:spacing w:after="60"/>
      </w:pPr>
      <w:r>
        <w:rPr>
          <w:sz w:val="18"/>
        </w:rPr>
        <w:t>B2B.house. Период: 26.06–03.08.2026. Раздел: Карточка завершенной закупки. Статус: Прочитано; вторичный источник.</w:t>
      </w:r>
    </w:p>
    <w:p>
      <w:pPr>
        <w:keepNext/>
        <w:spacing w:after="60"/>
      </w:pPr>
      <w:r>
        <w:rPr>
          <w:sz w:val="19"/>
        </w:rPr>
        <w:t>Сообщение о контракте; поставщик закрыт; неверная география Дагестан не перенесена.</w:t>
      </w:r>
    </w:p>
    <w:p>
      <w:pPr>
        <w:spacing w:after="160"/>
      </w:pPr>
      <w:hyperlink r:id="rId127">
        <w:r>
          <w:rPr>
            <w:color w:val="185F7D"/>
          </w:rPr>
          <w:t>Открыть источник</w:t>
        </w:r>
      </w:hyperlink>
    </w:p>
    <w:p>
      <w:pPr>
        <w:pStyle w:val="Heading3"/>
      </w:pPr>
      <w:bookmarkStart w:id="89" w:name="src_F06"/>
      <w:bookmarkEnd w:id="89"/>
      <w:r>
        <w:t>F06  Реквизиты ООО «Газпром переработка»: ресурс БФО</w:t>
      </w:r>
    </w:p>
    <w:p>
      <w:pPr>
        <w:keepNext/>
        <w:spacing w:after="60"/>
      </w:pPr>
      <w:r>
        <w:rPr>
          <w:sz w:val="18"/>
        </w:rPr>
        <w:t>ФНС России. Период: Отчетность 2024; выгрузка 27.04.2026. Раздел: Первая страница. Статус: Прочитано через веб-инструмент.</w:t>
      </w:r>
    </w:p>
    <w:p>
      <w:pPr>
        <w:keepNext/>
        <w:spacing w:after="60"/>
      </w:pPr>
      <w:r>
        <w:rPr>
          <w:sz w:val="19"/>
        </w:rPr>
        <w:t>ИНН 1102054991; КПП 780201001; юридический адрес. ОГРН аудитора ниже не является ОГРН оператора.</w:t>
      </w:r>
    </w:p>
    <w:p>
      <w:pPr>
        <w:spacing w:after="160"/>
      </w:pPr>
      <w:hyperlink r:id="rId128">
        <w:r>
          <w:rPr>
            <w:color w:val="185F7D"/>
          </w:rPr>
          <w:t>Открыть источник</w:t>
        </w:r>
      </w:hyperlink>
    </w:p>
    <w:p>
      <w:pPr>
        <w:pStyle w:val="Heading3"/>
      </w:pPr>
      <w:bookmarkStart w:id="90" w:name="src_F07"/>
      <w:bookmarkEnd w:id="90"/>
      <w:r>
        <w:t>F07  Лицензионный реестр: реквизиты оператора</w:t>
      </w:r>
    </w:p>
    <w:p>
      <w:pPr>
        <w:keepNext/>
        <w:spacing w:after="60"/>
      </w:pPr>
      <w:r>
        <w:rPr>
          <w:sz w:val="18"/>
        </w:rPr>
        <w:t>Роспотребнадзор. Период: Запись от 29.04.2026. Раздел: Лицензиат; ИНН; ОГРН. Статус: Прочитаны актуальная запись и реквизиты; сохранена HTML-копия.</w:t>
      </w:r>
    </w:p>
    <w:p>
      <w:pPr>
        <w:keepNext/>
        <w:spacing w:after="60"/>
      </w:pPr>
      <w:r>
        <w:rPr>
          <w:sz w:val="19"/>
        </w:rPr>
        <w:t>ООО «Газпром переработка»: ИНН 1102054991; ОГРН 1071102001651. Не подтверждает специальную закупку ОГПЗ.</w:t>
      </w:r>
    </w:p>
    <w:p>
      <w:pPr>
        <w:spacing w:after="160"/>
      </w:pPr>
      <w:hyperlink r:id="rId129">
        <w:r>
          <w:rPr>
            <w:color w:val="185F7D"/>
          </w:rPr>
          <w:t>Открыть источник</w:t>
        </w:r>
      </w:hyperlink>
    </w:p>
    <w:sectPr w:rsidR="00FC693F" w:rsidRPr="0006063C" w:rsidSect="00034616">
      <w:headerReference w:type="default" r:id="rId9"/>
      <w:footerReference w:type="default" r:id="rId10"/>
      <w:pgSz w:w="11909" w:h="16834"/>
      <w:pgMar w:top="965" w:right="1008" w:bottom="893" w:left="1008" w:header="389" w:footer="38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Коммерческое исследование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667077"/>
        <w:sz w:val="16"/>
      </w:rPr>
      <w:t>КРУС-ЗАПАД  •  ОРЕНБУРГСКИЙ ГПЗ  •  13 ОКТЯБРЯ 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7" w:lineRule="auto"/>
    </w:pPr>
    <w:rPr>
      <w:rFonts w:ascii="Arial" w:hAnsi="Arial"/>
      <w:sz w:val="22"/>
      <w:lang w:val="ru-RU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6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60" w:after="14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4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20"/>
      <w:contextualSpacing/>
    </w:pPr>
    <w:rPr>
      <w:rFonts w:ascii="Arial" w:hAnsi="Arial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20"/>
      <w:contextualSpacing/>
    </w:pPr>
    <w:rPr>
      <w:rFonts w:ascii="Arial" w:hAnsi="Arial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krus-zapad.ru/about/" TargetMode="External"/><Relationship Id="rId13" Type="http://schemas.openxmlformats.org/officeDocument/2006/relationships/hyperlink" Target="https://krus-zapad.ru/projects/ooo-gazpromneft-orenburg/" TargetMode="External"/><Relationship Id="rId15" Type="http://schemas.openxmlformats.org/officeDocument/2006/relationships/hyperlink" Target="https://krus-zapad.ru/upload/iblock/fcd/4518573d084s9e59ah64p55o1kstfgsx.pdf" TargetMode="External"/><Relationship Id="rId17" Type="http://schemas.openxmlformats.org/officeDocument/2006/relationships/hyperlink" Target="https://krus-zapad.ru/services/montazh-shefmontazh-pusko-naladka/" TargetMode="External"/><Relationship Id="rId19" Type="http://schemas.openxmlformats.org/officeDocument/2006/relationships/hyperlink" Target="https://krus-zapad.ru/services/tekhnicheskiy-audit/" TargetMode="External"/><Relationship Id="rId21" Type="http://schemas.openxmlformats.org/officeDocument/2006/relationships/hyperlink" Target="https://krus-zapad.ru/documents/management/" TargetMode="External"/><Relationship Id="rId23" Type="http://schemas.openxmlformats.org/officeDocument/2006/relationships/hyperlink" Target="https://gle.ru/gazprom-pererabotka/" TargetMode="External"/><Relationship Id="rId25" Type="http://schemas.openxmlformats.org/officeDocument/2006/relationships/hyperlink" Target="https://gle.ru/activity/orenberg-ghk/" TargetMode="External"/><Relationship Id="rId27" Type="http://schemas.openxmlformats.org/officeDocument/2006/relationships/hyperlink" Target="https://gle.ru/contact-us/" TargetMode="External"/><Relationship Id="rId29" Type="http://schemas.openxmlformats.org/officeDocument/2006/relationships/hyperlink" Target="http://gtm56.ru/projects/orenburgskij-gazopererabatyvayushhij-zavod/" TargetMode="External"/><Relationship Id="rId31" Type="http://schemas.openxmlformats.org/officeDocument/2006/relationships/hyperlink" Target="http://gtm56.ru/contacts/" TargetMode="External"/><Relationship Id="rId33" Type="http://schemas.openxmlformats.org/officeDocument/2006/relationships/hyperlink" Target="https://www.pegaz.ru/projects/reference/" TargetMode="External"/><Relationship Id="rId35" Type="http://schemas.openxmlformats.org/officeDocument/2006/relationships/hyperlink" Target="https://buropp.ru/" TargetMode="External"/><Relationship Id="rId37" Type="http://schemas.openxmlformats.org/officeDocument/2006/relationships/hyperlink" Target="https://www.peton.ru/ru/projects/141/" TargetMode="External"/><Relationship Id="rId39" Type="http://schemas.openxmlformats.org/officeDocument/2006/relationships/hyperlink" Target="https://oldsite.peton.ru/pages.php?p=286" TargetMode="External"/><Relationship Id="rId41" Type="http://schemas.openxmlformats.org/officeDocument/2006/relationships/hyperlink" Target="https://www.kazrosgas.kz/ru/a/novosti/108-vizit-kazahstanskoj-delegatsii-na-orenburgskij-gazopererabativayushchij-zavod" TargetMode="External"/><Relationship Id="rId43" Type="http://schemas.openxmlformats.org/officeDocument/2006/relationships/hyperlink" Target="https://ar2025.kmg.kz/ru/strategic-report/operating-review/megaprojects" TargetMode="External"/><Relationship Id="rId45" Type="http://schemas.openxmlformats.org/officeDocument/2006/relationships/hyperlink" Target="https://teploiz.ru/project/%D0%BA%D0%B0%D0%BF%D0%B8%D1%82%D0%B0%D0%BB%D1%8C%D0%BD%D1%8B%D0%B9-%D1%80%D0%B5%D0%BC%D0%BE%D0%BD%D1%82-%D0%B8%D0%B7%D0%BE%D0%BB%D1%8F%D1%86%D0%B8%D0%B8-%D0%BE%D1%80%D0%B5%D0%BD%D0%B1%D1%83%D1%80/" TargetMode="External"/><Relationship Id="rId47" Type="http://schemas.openxmlformats.org/officeDocument/2006/relationships/hyperlink" Target="https://gsprom.ru/2023-03-tenders.pdf" TargetMode="External"/><Relationship Id="rId49" Type="http://schemas.openxmlformats.org/officeDocument/2006/relationships/hyperlink" Target="https://sst.ru/projects/" TargetMode="External"/><Relationship Id="rId51" Type="http://schemas.openxmlformats.org/officeDocument/2006/relationships/hyperlink" Target="http://diem.ru/announces/%D1%83%D0%B2%D0%B5%D0%B4%D0%BE%D0%BC%D0%BB%D0%B5%D0%BD%D0%B8%D0%B5-%D0%BE-%D0%BF%D1%80%D0%BE%D0%B2%D0%B5%D0%B4%D0%B5%D0%BD%D0%B8%D0%B8-%D0%BE%D0%B1%D1%89%D0%B5%D1%81%D1%82%D0%B2%D0%B5%D0%BD%D0%BD%D1%8B%D1%85-%D0%BE%D0%B1%D1%81%D1%83%D0%B6%D0%B4%D0%B5%D0%BD%D0%B8%D0%B9_%D0%BE%D1%80%D0%B5%D0%BD%D0%B1%D1%83%D1%80%D0%B3-1/" TargetMode="External"/><Relationship Id="rId53" Type="http://schemas.openxmlformats.org/officeDocument/2006/relationships/hyperlink" Target="http://diem.ru/announces/%D1%83%D0%B2%D0%B5%D0%B4%D0%BE%D0%BC%D0%BB%D0%B5%D0%BD%D0%B8%D0%B5-%D0%BE-%D0%BF%D1%80%D0%BE%D0%B2%D0%B5%D0%B4%D0%B5%D0%BD%D0%B8%D0%B8-%D0%BE%D0%B1%D1%89%D0%B5%D1%81%D1%82%D0%B2%D0%B5%D0%BD%D0%BD%D1%8B%D1%85-%D0%BE%D0%B1%D1%81%D1%83%D0%B6%D0%B4%D0%B5%D0%BD%D0%B8%D0%B9_%D0%BE%D1%80%D0%B5%D0%BD%D0%B1%D1%83%D1%80%D0%B3-2/" TargetMode="External"/><Relationship Id="rId55" Type="http://schemas.openxmlformats.org/officeDocument/2006/relationships/hyperlink" Target="http://diem.ru/announces/%D1%83%D0%B2%D0%B5%D0%B4%D0%BE%D0%BC%D0%BB%D0%B5%D0%BD%D0%B8%D0%B5-%D0%BE-%D0%BF%D1%80%D0%BE%D0%B2%D0%B5%D0%B4%D0%B5%D0%BD%D0%B8%D0%B8-%D0%BE%D0%B1%D1%89%D0%B5%D1%81%D1%82%D0%B2%D0%B5%D0%BD%D0%BD%D1%8B%D1%85-%D0%BE%D0%B1%D1%81%D1%83%D0%B6%D0%B4%D0%B5%D0%BD%D0%B8%D0%B9_%D0%BE%D1%80%D0%B5%D0%BD%D0%B1%D1%83%D1%80%D0%B3-3/" TargetMode="External"/><Relationship Id="rId57" Type="http://schemas.openxmlformats.org/officeDocument/2006/relationships/hyperlink" Target="http://diem.ru/announces/%D1%83%D0%B2%D0%B5%D0%B4%D0%BE%D0%BC%D0%BB%D0%B5%D0%BD%D0%B8%D0%B5-%D0%BE-%D0%BF%D1%80%D0%BE%D0%B2%D0%B5%D0%B4%D0%B5%D0%BD%D0%B8%D0%B8-%D0%BE%D0%B1%D1%89%D0%B5%D1%81%D1%82%D0%B2%D0%B5%D0%BD%D0%BD%D1%8B%D1%85-%D0%BE%D0%B1%D1%81%D1%83%D0%B6%D0%B4%D0%B5%D0%BD%D0%B8%D0%B9_%D0%BE%D1%80%D0%B5%D0%BD%D0%B1%D1%83%D1%80%D0%B3-4/" TargetMode="External"/><Relationship Id="rId59" Type="http://schemas.openxmlformats.org/officeDocument/2006/relationships/hyperlink" Target="https://rpn.gov.ru/public/1811202415113315/" TargetMode="External"/><Relationship Id="rId61" Type="http://schemas.openxmlformats.org/officeDocument/2006/relationships/hyperlink" Target="http://diem.ru/download_file/view/1170/670/" TargetMode="External"/><Relationship Id="rId63" Type="http://schemas.openxmlformats.org/officeDocument/2006/relationships/hyperlink" Target="https://pererabotka.gazprom.ru/contacts/6/" TargetMode="External"/><Relationship Id="rId64" Type="http://schemas.openxmlformats.org/officeDocument/2006/relationships/hyperlink" Target="https://pererabotka.gazprom.ru/press/about-company/2019/07/708/" TargetMode="External"/><Relationship Id="rId65" Type="http://schemas.openxmlformats.org/officeDocument/2006/relationships/hyperlink" Target="https://cheta.ru/images/catalog/CHETA_catalog_2024.pdf" TargetMode="External"/><Relationship Id="rId67" Type="http://schemas.openxmlformats.org/officeDocument/2006/relationships/hyperlink" Target="https://oldsite.peton.ru/documents/12513330012020.pdf" TargetMode="External"/><Relationship Id="rId69" Type="http://schemas.openxmlformats.org/officeDocument/2006/relationships/hyperlink" Target="https://xn--80afnaylbafcido5b6k.xn--p1ai/content/gazeta_files/%D0%92%D0%B5%D1%81%D1%82%D0%BD%D0%B8%D0%BA%20%D0%93%D0%B0%D0%B7%D0%B7%D0%B0%D0%B2%D0%BE%D0%B4%D0%B0%2C%20%E2%84%962%2C%202018.pdf" TargetMode="External"/><Relationship Id="rId71" Type="http://schemas.openxmlformats.org/officeDocument/2006/relationships/hyperlink" Target="https://www.bicotender.ru/tender336800778.html" TargetMode="External"/><Relationship Id="rId84" Type="http://schemas.openxmlformats.org/officeDocument/2006/relationships/hyperlink" Target="https://www.bicotender.ru/tender337846084.html" TargetMode="External"/><Relationship Id="rId93" Type="http://schemas.openxmlformats.org/officeDocument/2006/relationships/hyperlink" Target="https://www.bicotender.ru/tender340213551.html" TargetMode="External"/><Relationship Id="rId105" Type="http://schemas.openxmlformats.org/officeDocument/2006/relationships/hyperlink" Target="https://www.bicotender.ru/tender340751500.html" TargetMode="External"/><Relationship Id="rId119" Type="http://schemas.openxmlformats.org/officeDocument/2006/relationships/hyperlink" Target="https://www.bicotender.ru/tender335921513.html" TargetMode="External"/><Relationship Id="rId120" Type="http://schemas.openxmlformats.org/officeDocument/2006/relationships/hyperlink" Target="https://www.bicotender.ru/tender340754650.html" TargetMode="External"/><Relationship Id="rId121" Type="http://schemas.openxmlformats.org/officeDocument/2006/relationships/hyperlink" Target="https://www.bicotender.ru/tender340754630.html" TargetMode="External"/><Relationship Id="rId122" Type="http://schemas.openxmlformats.org/officeDocument/2006/relationships/hyperlink" Target="https://www.bicotender.ru/tender340218008.html" TargetMode="External"/><Relationship Id="rId123" Type="http://schemas.openxmlformats.org/officeDocument/2006/relationships/hyperlink" Target="https://www.bicotender.ru/tender336807580.html" TargetMode="External"/><Relationship Id="rId124" Type="http://schemas.openxmlformats.org/officeDocument/2006/relationships/hyperlink" Target="https://www.bicotender.ru/tender341494848.html" TargetMode="External"/><Relationship Id="rId125" Type="http://schemas.openxmlformats.org/officeDocument/2006/relationships/hyperlink" Target="https://www.bicotender.ru/tender340110259.html" TargetMode="External"/><Relationship Id="rId126" Type="http://schemas.openxmlformats.org/officeDocument/2006/relationships/hyperlink" Target="https://energybase.ru/tender/01a0723e-667f-7093-bb4c-58b43ecbda9d" TargetMode="External"/><Relationship Id="rId127" Type="http://schemas.openxmlformats.org/officeDocument/2006/relationships/hyperlink" Target="https://b2b.house/purchase/d18282b1-2ebe-4365-8d24-aecdd228fcdb_e7b280e2/" TargetMode="External"/><Relationship Id="rId128" Type="http://schemas.openxmlformats.org/officeDocument/2006/relationships/hyperlink" Target="https://bo.nalog.gov.ru/download/bfo/pdf/85705?detailId=51329268&amp;period=2024" TargetMode="External"/><Relationship Id="rId129" Type="http://schemas.openxmlformats.org/officeDocument/2006/relationships/hyperlink" Target="https://fp.rospotrebnadzor.ru/licen/?is_show_history=on&amp;numb=78.01.10.002.%D0%9B.000030.10.18&amp;oper=sear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Оренбургский ГПЗ — коммерческое исследование для КРУС-Запада</dc:title>
  <dc:subject>Промышленный электрообогрев: факты, гипотезы и коммерческий план</dc:subject>
  <dc:creator>Исследование подготовлено с помощью Codex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